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296849C6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FB4B7D" w:rsidRPr="00FB4B7D">
        <w:rPr>
          <w:rFonts w:ascii="Arial" w:hAnsi="Arial" w:cs="Arial"/>
          <w:b/>
          <w:bCs/>
          <w:sz w:val="20"/>
          <w:szCs w:val="20"/>
        </w:rPr>
        <w:t>oscyloskopu pomiarowego z wbudowanym generatorem - KC-</w:t>
      </w:r>
      <w:proofErr w:type="spellStart"/>
      <w:r w:rsidR="00FB4B7D" w:rsidRPr="00FB4B7D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FB4B7D" w:rsidRPr="00FB4B7D">
        <w:rPr>
          <w:rFonts w:ascii="Arial" w:hAnsi="Arial" w:cs="Arial"/>
          <w:b/>
          <w:bCs/>
          <w:sz w:val="20"/>
          <w:szCs w:val="20"/>
        </w:rPr>
        <w:t>. 272-585/21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2021-10-22T11:04:00Z</cp:lastPrinted>
  <dcterms:created xsi:type="dcterms:W3CDTF">2021-10-22T11:04:00Z</dcterms:created>
  <dcterms:modified xsi:type="dcterms:W3CDTF">2021-10-22T11:04:00Z</dcterms:modified>
</cp:coreProperties>
</file>