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12907210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</w:t>
      </w:r>
      <w:r w:rsidR="006A6871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25 ust. 1 ustawy z dnia </w:t>
      </w:r>
      <w:r w:rsidR="006A6871">
        <w:rPr>
          <w:rFonts w:ascii="Arial" w:eastAsia="Times New Roman" w:hAnsi="Arial" w:cs="Arial"/>
          <w:b/>
          <w:sz w:val="20"/>
          <w:szCs w:val="20"/>
          <w:lang w:eastAsia="pl-PL"/>
        </w:rPr>
        <w:t>11 września 2019</w:t>
      </w: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Pzp),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12703A76" w:rsidR="00A529B6" w:rsidRPr="00B35214" w:rsidRDefault="00A529B6" w:rsidP="00B35214">
      <w:pPr>
        <w:jc w:val="both"/>
        <w:rPr>
          <w:b/>
          <w:bCs/>
          <w:lang w:eastAsia="pl-PL"/>
        </w:rPr>
      </w:pPr>
      <w:r w:rsidRPr="0002013D">
        <w:rPr>
          <w:rFonts w:asciiTheme="minorHAnsi" w:hAnsiTheme="minorHAnsi" w:cstheme="minorHAnsi"/>
        </w:rPr>
        <w:t>Na potrzeby postępowania o udzielenie zamówienia publicznego pn</w:t>
      </w:r>
      <w:r w:rsidR="00B35214">
        <w:rPr>
          <w:rFonts w:asciiTheme="minorHAnsi" w:hAnsiTheme="minorHAnsi" w:cstheme="minorHAnsi"/>
        </w:rPr>
        <w:t>.</w:t>
      </w:r>
      <w:r w:rsidR="0002013D" w:rsidRPr="0002013D">
        <w:rPr>
          <w:rFonts w:asciiTheme="minorHAnsi" w:hAnsiTheme="minorHAnsi" w:cstheme="minorHAnsi"/>
        </w:rPr>
        <w:t xml:space="preserve"> </w:t>
      </w:r>
      <w:r w:rsidR="00B35214" w:rsidRPr="00B35214">
        <w:rPr>
          <w:rFonts w:cstheme="minorHAnsi"/>
          <w:b/>
          <w:bCs/>
          <w:color w:val="000000"/>
          <w:shd w:val="clear" w:color="auto" w:fill="FFFFFF"/>
        </w:rPr>
        <w:t xml:space="preserve">dostawa </w:t>
      </w:r>
      <w:r w:rsidR="006A6871">
        <w:rPr>
          <w:rFonts w:cstheme="minorHAnsi"/>
          <w:b/>
          <w:bCs/>
          <w:color w:val="000000"/>
          <w:shd w:val="clear" w:color="auto" w:fill="FFFFFF"/>
        </w:rPr>
        <w:t>na przenośny rejestrator EKG oraz przenośny elektrokardiograf komputerowy EKG</w:t>
      </w:r>
      <w:r w:rsidR="00B35214" w:rsidRPr="00B35214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B35214" w:rsidRPr="00B35214">
        <w:rPr>
          <w:b/>
          <w:bCs/>
        </w:rPr>
        <w:t>- KC-zp.272-</w:t>
      </w:r>
      <w:r w:rsidR="006A6871">
        <w:rPr>
          <w:b/>
          <w:bCs/>
        </w:rPr>
        <w:t>668</w:t>
      </w:r>
      <w:r w:rsidR="00B35214" w:rsidRPr="00B35214">
        <w:rPr>
          <w:b/>
          <w:bCs/>
        </w:rPr>
        <w:t>/21</w:t>
      </w:r>
      <w:r w:rsidRPr="0002013D">
        <w:rPr>
          <w:rFonts w:asciiTheme="minorHAnsi" w:hAnsiTheme="minorHAnsi" w:cstheme="minorHAnsi"/>
        </w:rPr>
        <w:t>,</w:t>
      </w:r>
      <w:r w:rsidRPr="0002013D">
        <w:rPr>
          <w:rFonts w:asciiTheme="minorHAnsi" w:hAnsiTheme="minorHAnsi" w:cstheme="minorHAnsi"/>
          <w:i/>
        </w:rPr>
        <w:t xml:space="preserve"> </w:t>
      </w:r>
      <w:r w:rsidRPr="0002013D">
        <w:rPr>
          <w:rFonts w:asciiTheme="minorHAnsi" w:hAnsiTheme="minorHAnsi" w:cstheme="minorHAnsi"/>
        </w:rPr>
        <w:t>prowadzonego przez Akademię Górniczo-Hutniczą w Krakowie,</w:t>
      </w:r>
      <w:r w:rsidRPr="0002013D">
        <w:rPr>
          <w:rFonts w:asciiTheme="minorHAnsi" w:hAnsiTheme="minorHAnsi" w:cstheme="minorHAnsi"/>
          <w:i/>
        </w:rPr>
        <w:t xml:space="preserve"> </w:t>
      </w:r>
      <w:r w:rsidRPr="0002013D">
        <w:rPr>
          <w:rFonts w:asciiTheme="minorHAnsi" w:hAnsiTheme="minorHAnsi" w:cstheme="minorHAnsi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>ustawy Pzp.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>ustawy Pzp.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013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E27CF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461C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A6871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35214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B3752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1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6</cp:revision>
  <cp:lastPrinted>2021-08-13T08:59:00Z</cp:lastPrinted>
  <dcterms:created xsi:type="dcterms:W3CDTF">2021-08-13T08:56:00Z</dcterms:created>
  <dcterms:modified xsi:type="dcterms:W3CDTF">2021-11-17T08:19:00Z</dcterms:modified>
</cp:coreProperties>
</file>