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5115E2" w:rsidRDefault="00592A6F" w:rsidP="006A5DF1">
      <w:pPr>
        <w:spacing w:after="240"/>
        <w:jc w:val="right"/>
        <w:rPr>
          <w:rFonts w:ascii="Verdana" w:hAnsi="Verdana"/>
        </w:rPr>
      </w:pPr>
      <w:r w:rsidRPr="005115E2">
        <w:rPr>
          <w:rFonts w:ascii="Verdana" w:hAnsi="Verdana"/>
        </w:rPr>
        <w:t>Kraków</w:t>
      </w:r>
      <w:r w:rsidR="006A5DF1" w:rsidRPr="005115E2">
        <w:rPr>
          <w:rFonts w:ascii="Verdana" w:hAnsi="Verdana"/>
        </w:rPr>
        <w:t xml:space="preserve"> dnia: </w:t>
      </w:r>
      <w:r w:rsidRPr="005115E2">
        <w:rPr>
          <w:rFonts w:ascii="Verdana" w:hAnsi="Verdana"/>
        </w:rPr>
        <w:t>2023-07-2</w:t>
      </w:r>
      <w:r w:rsidR="00CE4724">
        <w:rPr>
          <w:rFonts w:ascii="Verdana" w:hAnsi="Verdana"/>
        </w:rPr>
        <w:t>7</w:t>
      </w:r>
    </w:p>
    <w:p w:rsidR="00592A6F" w:rsidRPr="005115E2" w:rsidRDefault="00592A6F" w:rsidP="006A5DF1">
      <w:pPr>
        <w:rPr>
          <w:rFonts w:ascii="Verdana" w:hAnsi="Verdana"/>
          <w:b/>
          <w:bCs/>
        </w:rPr>
      </w:pPr>
      <w:r w:rsidRPr="005115E2">
        <w:rPr>
          <w:rFonts w:ascii="Verdana" w:hAnsi="Verdana"/>
          <w:b/>
          <w:bCs/>
        </w:rPr>
        <w:t>Akademia Górniczo - Hutnicza</w:t>
      </w:r>
    </w:p>
    <w:p w:rsidR="00592A6F" w:rsidRPr="005115E2" w:rsidRDefault="00592A6F" w:rsidP="006A5DF1">
      <w:pPr>
        <w:rPr>
          <w:rFonts w:ascii="Verdana" w:hAnsi="Verdana"/>
          <w:b/>
          <w:bCs/>
        </w:rPr>
      </w:pPr>
      <w:r w:rsidRPr="005115E2">
        <w:rPr>
          <w:rFonts w:ascii="Verdana" w:hAnsi="Verdana"/>
          <w:b/>
          <w:bCs/>
        </w:rPr>
        <w:t>im. Stanisława Staszica w Krakowie</w:t>
      </w:r>
    </w:p>
    <w:p w:rsidR="006A5DF1" w:rsidRPr="005115E2" w:rsidRDefault="00592A6F" w:rsidP="006A5DF1">
      <w:pPr>
        <w:rPr>
          <w:rFonts w:ascii="Verdana" w:hAnsi="Verdana"/>
          <w:b/>
          <w:bCs/>
        </w:rPr>
      </w:pPr>
      <w:r w:rsidRPr="005115E2">
        <w:rPr>
          <w:rFonts w:ascii="Verdana" w:hAnsi="Verdana"/>
          <w:b/>
          <w:bCs/>
        </w:rPr>
        <w:t>Dział Zamówień Publicznych</w:t>
      </w:r>
    </w:p>
    <w:p w:rsidR="006A5DF1" w:rsidRPr="005115E2" w:rsidRDefault="00592A6F" w:rsidP="006A5DF1">
      <w:pPr>
        <w:rPr>
          <w:rFonts w:ascii="Verdana" w:hAnsi="Verdana"/>
        </w:rPr>
      </w:pPr>
      <w:r w:rsidRPr="005115E2">
        <w:rPr>
          <w:rFonts w:ascii="Verdana" w:hAnsi="Verdana"/>
        </w:rPr>
        <w:t>Al. Mickiewicza</w:t>
      </w:r>
      <w:r w:rsidR="006A5DF1" w:rsidRPr="005115E2">
        <w:rPr>
          <w:rFonts w:ascii="Verdana" w:hAnsi="Verdana"/>
        </w:rPr>
        <w:t xml:space="preserve"> </w:t>
      </w:r>
      <w:r w:rsidRPr="005115E2">
        <w:rPr>
          <w:rFonts w:ascii="Verdana" w:hAnsi="Verdana"/>
        </w:rPr>
        <w:t>30</w:t>
      </w:r>
    </w:p>
    <w:p w:rsidR="006A5DF1" w:rsidRPr="005115E2" w:rsidRDefault="00592A6F" w:rsidP="006A5DF1">
      <w:pPr>
        <w:rPr>
          <w:rFonts w:ascii="Verdana" w:hAnsi="Verdana"/>
        </w:rPr>
      </w:pPr>
      <w:r w:rsidRPr="005115E2">
        <w:rPr>
          <w:rFonts w:ascii="Verdana" w:hAnsi="Verdana"/>
        </w:rPr>
        <w:t>30-059</w:t>
      </w:r>
      <w:r w:rsidR="006A5DF1" w:rsidRPr="005115E2">
        <w:rPr>
          <w:rFonts w:ascii="Verdana" w:hAnsi="Verdana"/>
        </w:rPr>
        <w:t xml:space="preserve"> </w:t>
      </w:r>
      <w:r w:rsidRPr="005115E2">
        <w:rPr>
          <w:rFonts w:ascii="Verdana" w:hAnsi="Verdana"/>
        </w:rPr>
        <w:t>Kraków</w:t>
      </w:r>
    </w:p>
    <w:p w:rsidR="006A5DF1" w:rsidRPr="005115E2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5115E2">
        <w:rPr>
          <w:rFonts w:ascii="Verdana" w:hAnsi="Verdana"/>
        </w:rPr>
        <w:t>Pismo:</w:t>
      </w:r>
      <w:r w:rsidR="005115E2" w:rsidRPr="005115E2">
        <w:rPr>
          <w:rFonts w:ascii="Verdana" w:hAnsi="Verdana"/>
          <w:bCs/>
        </w:rPr>
        <w:t xml:space="preserve"> KC-zp.272-427/23</w:t>
      </w:r>
      <w:r w:rsidRPr="005115E2">
        <w:rPr>
          <w:rFonts w:ascii="Verdana" w:hAnsi="Verdana"/>
        </w:rPr>
        <w:tab/>
        <w:t xml:space="preserve"> </w:t>
      </w:r>
    </w:p>
    <w:p w:rsidR="006A5DF1" w:rsidRPr="005115E2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5115E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5115E2">
        <w:rPr>
          <w:rFonts w:ascii="Verdana" w:hAnsi="Verdana"/>
          <w:b/>
        </w:rPr>
        <w:t>WYKONAWCY</w:t>
      </w:r>
    </w:p>
    <w:p w:rsidR="006A5DF1" w:rsidRPr="005115E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5115E2">
        <w:rPr>
          <w:rFonts w:ascii="Verdana" w:hAnsi="Verdana"/>
        </w:rPr>
        <w:t>ubiegający się o zamówienie publiczne</w:t>
      </w:r>
    </w:p>
    <w:p w:rsidR="006D4AB3" w:rsidRPr="005115E2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5115E2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5115E2">
        <w:rPr>
          <w:rFonts w:ascii="Verdana" w:hAnsi="Verdana"/>
          <w:sz w:val="20"/>
        </w:rPr>
        <w:t>WYJAŚNIENI</w:t>
      </w:r>
      <w:r w:rsidR="00520165" w:rsidRPr="005115E2">
        <w:rPr>
          <w:rFonts w:ascii="Verdana" w:hAnsi="Verdana"/>
          <w:sz w:val="20"/>
        </w:rPr>
        <w:t>A</w:t>
      </w:r>
      <w:r w:rsidR="00632C3C" w:rsidRPr="005115E2">
        <w:rPr>
          <w:rFonts w:ascii="Verdana" w:hAnsi="Verdana"/>
          <w:sz w:val="20"/>
        </w:rPr>
        <w:t xml:space="preserve"> TREŚCI</w:t>
      </w:r>
      <w:r w:rsidR="0029606A" w:rsidRPr="005115E2">
        <w:rPr>
          <w:rFonts w:ascii="Verdana" w:hAnsi="Verdana"/>
          <w:sz w:val="20"/>
        </w:rPr>
        <w:t xml:space="preserve"> SWZ</w:t>
      </w:r>
    </w:p>
    <w:p w:rsidR="006D4AB3" w:rsidRPr="005115E2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5115E2">
        <w:rPr>
          <w:rFonts w:ascii="Verdana" w:hAnsi="Verdana"/>
        </w:rPr>
        <w:t xml:space="preserve">Dotyczy: </w:t>
      </w:r>
      <w:r w:rsidR="006A5DF1" w:rsidRPr="005115E2">
        <w:rPr>
          <w:rFonts w:ascii="Verdana" w:hAnsi="Verdana"/>
        </w:rPr>
        <w:t>p</w:t>
      </w:r>
      <w:r w:rsidRPr="005115E2">
        <w:rPr>
          <w:rFonts w:ascii="Verdana" w:hAnsi="Verdana"/>
        </w:rPr>
        <w:t>ostępowani</w:t>
      </w:r>
      <w:r w:rsidR="006A5DF1" w:rsidRPr="005115E2">
        <w:rPr>
          <w:rFonts w:ascii="Verdana" w:hAnsi="Verdana"/>
        </w:rPr>
        <w:t>a</w:t>
      </w:r>
      <w:r w:rsidRPr="005115E2">
        <w:rPr>
          <w:rFonts w:ascii="Verdana" w:hAnsi="Verdana"/>
        </w:rPr>
        <w:t xml:space="preserve"> o udzielenie zamówienia publicznego, prowadzone</w:t>
      </w:r>
      <w:r w:rsidR="006A5DF1" w:rsidRPr="005115E2">
        <w:rPr>
          <w:rFonts w:ascii="Verdana" w:hAnsi="Verdana"/>
        </w:rPr>
        <w:t>go</w:t>
      </w:r>
      <w:r w:rsidRPr="005115E2">
        <w:rPr>
          <w:rFonts w:ascii="Verdana" w:hAnsi="Verdana"/>
        </w:rPr>
        <w:t xml:space="preserve"> w trybie</w:t>
      </w:r>
      <w:r w:rsidR="002C6A48" w:rsidRPr="005115E2">
        <w:rPr>
          <w:rFonts w:ascii="Verdana" w:hAnsi="Verdana"/>
        </w:rPr>
        <w:t>:</w:t>
      </w:r>
      <w:r w:rsidRPr="005115E2">
        <w:rPr>
          <w:rFonts w:ascii="Verdana" w:hAnsi="Verdana"/>
        </w:rPr>
        <w:t xml:space="preserve"> </w:t>
      </w:r>
      <w:r w:rsidR="00592A6F" w:rsidRPr="005115E2">
        <w:rPr>
          <w:rFonts w:ascii="Verdana" w:hAnsi="Verdana"/>
        </w:rPr>
        <w:t xml:space="preserve">Tryb podstawowy bez negocjacji - art. 275 pkt. 1 ustawy </w:t>
      </w:r>
      <w:proofErr w:type="spellStart"/>
      <w:r w:rsidR="00592A6F" w:rsidRPr="005115E2">
        <w:rPr>
          <w:rFonts w:ascii="Verdana" w:hAnsi="Verdana"/>
        </w:rPr>
        <w:t>Pzp</w:t>
      </w:r>
      <w:proofErr w:type="spellEnd"/>
      <w:r w:rsidRPr="005115E2">
        <w:rPr>
          <w:rFonts w:ascii="Verdana" w:hAnsi="Verdana"/>
          <w:b/>
        </w:rPr>
        <w:t xml:space="preserve"> </w:t>
      </w:r>
      <w:r w:rsidRPr="005115E2">
        <w:rPr>
          <w:rFonts w:ascii="Verdana" w:hAnsi="Verdana"/>
          <w:bCs/>
        </w:rPr>
        <w:t>na</w:t>
      </w:r>
      <w:r w:rsidRPr="005115E2">
        <w:rPr>
          <w:rFonts w:ascii="Verdana" w:hAnsi="Verdana"/>
          <w:b/>
        </w:rPr>
        <w:t xml:space="preserve"> </w:t>
      </w:r>
      <w:r w:rsidR="00E72428" w:rsidRPr="005115E2">
        <w:rPr>
          <w:rFonts w:ascii="Verdana" w:hAnsi="Verdana"/>
          <w:bCs/>
        </w:rPr>
        <w:t>”</w:t>
      </w:r>
      <w:r w:rsidR="00592A6F" w:rsidRPr="005115E2">
        <w:rPr>
          <w:rFonts w:ascii="Verdana" w:hAnsi="Verdana"/>
          <w:b/>
          <w:bCs/>
        </w:rPr>
        <w:t>Remont pokrycia dachu Basenu AGH w Krakowie wraz z wykonaniem instalacji fotowoltaicznej KC-zp.272-427/23</w:t>
      </w:r>
      <w:r w:rsidR="00E72428" w:rsidRPr="005115E2">
        <w:rPr>
          <w:rFonts w:ascii="Verdana" w:hAnsi="Verdana"/>
          <w:bCs/>
        </w:rPr>
        <w:t>”</w:t>
      </w:r>
      <w:r w:rsidRPr="005115E2">
        <w:rPr>
          <w:rFonts w:ascii="Verdana" w:hAnsi="Verdana"/>
          <w:b/>
        </w:rPr>
        <w:t xml:space="preserve"> </w:t>
      </w:r>
      <w:r w:rsidRPr="005115E2">
        <w:rPr>
          <w:rFonts w:ascii="Verdana" w:hAnsi="Verdana"/>
          <w:bCs/>
        </w:rPr>
        <w:t>– znak sprawy</w:t>
      </w:r>
      <w:r w:rsidRPr="005115E2">
        <w:rPr>
          <w:rFonts w:ascii="Verdana" w:hAnsi="Verdana"/>
          <w:b/>
        </w:rPr>
        <w:t xml:space="preserve"> </w:t>
      </w:r>
      <w:r w:rsidR="00592A6F" w:rsidRPr="005115E2">
        <w:rPr>
          <w:rFonts w:ascii="Verdana" w:hAnsi="Verdana"/>
          <w:b/>
        </w:rPr>
        <w:t>KC-zp272-427/23</w:t>
      </w:r>
      <w:r w:rsidRPr="005115E2">
        <w:rPr>
          <w:rFonts w:ascii="Verdana" w:hAnsi="Verdana"/>
          <w:b/>
        </w:rPr>
        <w:t>.</w:t>
      </w:r>
    </w:p>
    <w:p w:rsidR="005115E2" w:rsidRPr="005115E2" w:rsidRDefault="00520165" w:rsidP="005115E2">
      <w:pPr>
        <w:spacing w:after="240" w:line="276" w:lineRule="auto"/>
        <w:jc w:val="both"/>
        <w:rPr>
          <w:rFonts w:ascii="Verdana" w:hAnsi="Verdana"/>
          <w:bCs/>
          <w:lang w:eastAsia="ar-SA"/>
        </w:rPr>
      </w:pPr>
      <w:r w:rsidRPr="005115E2">
        <w:rPr>
          <w:rFonts w:ascii="Verdana" w:hAnsi="Verdana"/>
        </w:rPr>
        <w:t>Zamawiający,</w:t>
      </w:r>
      <w:r w:rsidR="002C6A48" w:rsidRPr="005115E2">
        <w:rPr>
          <w:rFonts w:ascii="Verdana" w:hAnsi="Verdana"/>
        </w:rPr>
        <w:t xml:space="preserve"> </w:t>
      </w:r>
      <w:r w:rsidR="002C6A48" w:rsidRPr="005115E2">
        <w:rPr>
          <w:rFonts w:ascii="Verdana" w:hAnsi="Verdana"/>
          <w:b/>
        </w:rPr>
        <w:t>Akademia Górniczo-Hutnicza im. Stanisława Staszica w Krakowie</w:t>
      </w:r>
      <w:r w:rsidRPr="005115E2">
        <w:rPr>
          <w:rFonts w:ascii="Verdana" w:hAnsi="Verdana"/>
        </w:rPr>
        <w:t xml:space="preserve"> działając na podstawie art. </w:t>
      </w:r>
      <w:r w:rsidR="00E74BC3" w:rsidRPr="005115E2">
        <w:rPr>
          <w:rFonts w:ascii="Verdana" w:hAnsi="Verdana"/>
        </w:rPr>
        <w:t>284</w:t>
      </w:r>
      <w:r w:rsidRPr="005115E2">
        <w:rPr>
          <w:rFonts w:ascii="Verdana" w:hAnsi="Verdana"/>
        </w:rPr>
        <w:t xml:space="preserve"> ust. </w:t>
      </w:r>
      <w:r w:rsidR="0029606A" w:rsidRPr="005115E2">
        <w:rPr>
          <w:rFonts w:ascii="Verdana" w:hAnsi="Verdana"/>
        </w:rPr>
        <w:t>6</w:t>
      </w:r>
      <w:r w:rsidRPr="005115E2">
        <w:rPr>
          <w:rFonts w:ascii="Verdana" w:hAnsi="Verdana"/>
        </w:rPr>
        <w:t xml:space="preserve"> ustawy z dnia </w:t>
      </w:r>
      <w:r w:rsidR="0029606A" w:rsidRPr="005115E2">
        <w:rPr>
          <w:rFonts w:ascii="Verdana" w:hAnsi="Verdana"/>
        </w:rPr>
        <w:t>11</w:t>
      </w:r>
      <w:r w:rsidRPr="005115E2">
        <w:rPr>
          <w:rFonts w:ascii="Verdana" w:hAnsi="Verdana"/>
        </w:rPr>
        <w:t xml:space="preserve"> </w:t>
      </w:r>
      <w:r w:rsidR="0029606A" w:rsidRPr="005115E2">
        <w:rPr>
          <w:rFonts w:ascii="Verdana" w:hAnsi="Verdana"/>
        </w:rPr>
        <w:t xml:space="preserve">września </w:t>
      </w:r>
      <w:r w:rsidRPr="005115E2">
        <w:rPr>
          <w:rFonts w:ascii="Verdana" w:hAnsi="Verdana"/>
        </w:rPr>
        <w:t>20</w:t>
      </w:r>
      <w:r w:rsidR="0029606A" w:rsidRPr="005115E2">
        <w:rPr>
          <w:rFonts w:ascii="Verdana" w:hAnsi="Verdana"/>
        </w:rPr>
        <w:t>19</w:t>
      </w:r>
      <w:r w:rsidRPr="005115E2">
        <w:rPr>
          <w:rFonts w:ascii="Verdana" w:hAnsi="Verdana"/>
        </w:rPr>
        <w:t xml:space="preserve"> r</w:t>
      </w:r>
      <w:r w:rsidR="0029606A" w:rsidRPr="005115E2">
        <w:rPr>
          <w:rFonts w:ascii="Verdana" w:hAnsi="Verdana"/>
        </w:rPr>
        <w:t>.</w:t>
      </w:r>
      <w:r w:rsidRPr="005115E2">
        <w:rPr>
          <w:rFonts w:ascii="Verdana" w:hAnsi="Verdana"/>
        </w:rPr>
        <w:t xml:space="preserve"> Prawo </w:t>
      </w:r>
      <w:r w:rsidR="0029606A" w:rsidRPr="005115E2">
        <w:rPr>
          <w:rFonts w:ascii="Verdana" w:hAnsi="Verdana"/>
        </w:rPr>
        <w:t>z</w:t>
      </w:r>
      <w:r w:rsidRPr="005115E2">
        <w:rPr>
          <w:rFonts w:ascii="Verdana" w:hAnsi="Verdana"/>
        </w:rPr>
        <w:t xml:space="preserve">amówień </w:t>
      </w:r>
      <w:r w:rsidR="0029606A" w:rsidRPr="005115E2">
        <w:rPr>
          <w:rFonts w:ascii="Verdana" w:hAnsi="Verdana"/>
        </w:rPr>
        <w:t>p</w:t>
      </w:r>
      <w:r w:rsidRPr="005115E2">
        <w:rPr>
          <w:rFonts w:ascii="Verdana" w:hAnsi="Verdana"/>
        </w:rPr>
        <w:t>ublicznych</w:t>
      </w:r>
      <w:r w:rsidR="00711222" w:rsidRPr="005115E2">
        <w:rPr>
          <w:rFonts w:ascii="Verdana" w:hAnsi="Verdana"/>
        </w:rPr>
        <w:t xml:space="preserve"> (Dz.U. z 2022 r. poz. 1710</w:t>
      </w:r>
      <w:r w:rsidR="005115E2" w:rsidRPr="005115E2">
        <w:rPr>
          <w:rFonts w:ascii="Verdana" w:hAnsi="Verdana"/>
        </w:rPr>
        <w:t xml:space="preserve"> ze zm. </w:t>
      </w:r>
      <w:r w:rsidR="00711222" w:rsidRPr="005115E2">
        <w:rPr>
          <w:rFonts w:ascii="Verdana" w:hAnsi="Verdana"/>
        </w:rPr>
        <w:t>)</w:t>
      </w:r>
      <w:r w:rsidR="00BE7BFD" w:rsidRPr="005115E2">
        <w:rPr>
          <w:rFonts w:ascii="Verdana" w:hAnsi="Verdana"/>
        </w:rPr>
        <w:t xml:space="preserve">, </w:t>
      </w:r>
      <w:r w:rsidR="00E74BC3" w:rsidRPr="005115E2">
        <w:rPr>
          <w:rFonts w:ascii="Verdana" w:hAnsi="Verdana"/>
        </w:rPr>
        <w:t>udostępnia</w:t>
      </w:r>
      <w:r w:rsidR="00BE7BFD" w:rsidRPr="005115E2">
        <w:rPr>
          <w:rFonts w:ascii="Verdana" w:hAnsi="Verdana"/>
        </w:rPr>
        <w:t xml:space="preserve"> poniżej treść zapytań do S</w:t>
      </w:r>
      <w:r w:rsidR="0012774F" w:rsidRPr="005115E2">
        <w:rPr>
          <w:rFonts w:ascii="Verdana" w:hAnsi="Verdana"/>
        </w:rPr>
        <w:t>pecyfikacji Warunków Zamówienia (</w:t>
      </w:r>
      <w:r w:rsidR="0012774F" w:rsidRPr="005115E2">
        <w:rPr>
          <w:rFonts w:ascii="Verdana" w:hAnsi="Verdana"/>
          <w:lang w:eastAsia="ar-SA"/>
        </w:rPr>
        <w:t>zwanej dalej</w:t>
      </w:r>
      <w:r w:rsidR="0012774F" w:rsidRPr="005115E2">
        <w:rPr>
          <w:rFonts w:ascii="Verdana" w:hAnsi="Verdana"/>
          <w:b/>
          <w:lang w:eastAsia="ar-SA"/>
        </w:rPr>
        <w:t xml:space="preserve"> </w:t>
      </w:r>
      <w:r w:rsidR="0012774F" w:rsidRPr="005115E2">
        <w:rPr>
          <w:rFonts w:ascii="Verdana" w:hAnsi="Verdana"/>
          <w:bCs/>
          <w:lang w:eastAsia="ar-SA"/>
        </w:rPr>
        <w:t>”SWZ”)</w:t>
      </w:r>
      <w:r w:rsidR="00E74BC3" w:rsidRPr="005115E2">
        <w:rPr>
          <w:rFonts w:ascii="Verdana" w:hAnsi="Verdana"/>
          <w:bCs/>
          <w:lang w:eastAsia="ar-SA"/>
        </w:rPr>
        <w:t xml:space="preserve"> </w:t>
      </w:r>
      <w:r w:rsidR="00E74BC3" w:rsidRPr="005115E2">
        <w:rPr>
          <w:rFonts w:ascii="Verdana" w:hAnsi="Verdana"/>
        </w:rPr>
        <w:t>wraz z wyjaśnieniami</w:t>
      </w:r>
      <w:r w:rsidR="0012774F" w:rsidRPr="005115E2">
        <w:rPr>
          <w:rFonts w:ascii="Verdana" w:hAnsi="Verdana"/>
          <w:bCs/>
          <w:lang w:eastAsia="ar-SA"/>
        </w:rPr>
        <w:t>:</w:t>
      </w:r>
    </w:p>
    <w:p w:rsidR="005115E2" w:rsidRPr="005115E2" w:rsidRDefault="005115E2" w:rsidP="005115E2">
      <w:pPr>
        <w:tabs>
          <w:tab w:val="right" w:pos="9072"/>
        </w:tabs>
        <w:ind w:left="1134" w:hanging="1134"/>
        <w:jc w:val="both"/>
        <w:rPr>
          <w:rFonts w:ascii="Verdana" w:eastAsia="Calibri" w:hAnsi="Verdana" w:cs="Arial"/>
          <w:b/>
          <w:i/>
          <w:lang w:eastAsia="en-US"/>
        </w:rPr>
      </w:pPr>
      <w:r w:rsidRPr="005115E2">
        <w:rPr>
          <w:rFonts w:ascii="Verdana" w:hAnsi="Verdana"/>
        </w:rPr>
        <w:t xml:space="preserve"> </w:t>
      </w:r>
    </w:p>
    <w:p w:rsidR="005115E2" w:rsidRPr="005115E2" w:rsidRDefault="005115E2" w:rsidP="005115E2">
      <w:pPr>
        <w:numPr>
          <w:ilvl w:val="0"/>
          <w:numId w:val="8"/>
        </w:numPr>
        <w:suppressAutoHyphens/>
        <w:jc w:val="both"/>
        <w:rPr>
          <w:rFonts w:ascii="Verdana" w:hAnsi="Verdana" w:cs="Calibri"/>
          <w:lang w:eastAsia="en-US"/>
        </w:rPr>
      </w:pPr>
      <w:r w:rsidRPr="005115E2">
        <w:rPr>
          <w:rFonts w:ascii="Verdana" w:hAnsi="Verdana" w:cs="Calibri"/>
          <w:lang w:eastAsia="en-US"/>
        </w:rPr>
        <w:t>Tauron Dystrybucja zgłosił uwagi do uzgodnionego projektu wykonawczego pt.: „PW_Basen_25-04-23_Tauron_v5_uzgodniony” W celu wykonania poprawnej oferty prosimy o udostępnienie uzgodnionego projektu.</w:t>
      </w:r>
    </w:p>
    <w:p w:rsidR="005115E2" w:rsidRPr="005115E2" w:rsidRDefault="005115E2" w:rsidP="005115E2">
      <w:pPr>
        <w:ind w:left="360"/>
        <w:jc w:val="both"/>
        <w:rPr>
          <w:rFonts w:ascii="Verdana" w:eastAsia="Calibri" w:hAnsi="Verdana" w:cs="Calibri"/>
          <w:lang w:eastAsia="en-US"/>
        </w:rPr>
      </w:pPr>
      <w:r w:rsidRPr="005115E2">
        <w:rPr>
          <w:rFonts w:ascii="Verdana" w:eastAsia="Calibri" w:hAnsi="Verdana" w:cs="Calibri"/>
          <w:lang w:eastAsia="en-US"/>
        </w:rPr>
        <w:t xml:space="preserve">   </w:t>
      </w:r>
      <w:r w:rsidR="00CE4724">
        <w:rPr>
          <w:rFonts w:ascii="Verdana" w:eastAsia="Calibri" w:hAnsi="Verdana" w:cs="Calibri"/>
          <w:noProof/>
          <w:lang w:eastAsia="en-US"/>
        </w:rPr>
        <w:fldChar w:fldCharType="begin"/>
      </w:r>
      <w:r w:rsidR="00CE4724">
        <w:rPr>
          <w:rFonts w:ascii="Verdana" w:eastAsia="Calibri" w:hAnsi="Verdana" w:cs="Calibri"/>
          <w:noProof/>
          <w:lang w:eastAsia="en-US"/>
        </w:rPr>
        <w:instrText xml:space="preserve"> </w:instrText>
      </w:r>
      <w:r w:rsidR="00CE4724">
        <w:rPr>
          <w:rFonts w:ascii="Verdana" w:eastAsia="Calibri" w:hAnsi="Verdana" w:cs="Calibri"/>
          <w:noProof/>
          <w:lang w:eastAsia="en-US"/>
        </w:rPr>
        <w:instrText>INCLUDEPICTURE  "cid:image007.png@01D9A2D1.31786A60" \* MERGEFORMATINET</w:instrText>
      </w:r>
      <w:r w:rsidR="00CE4724">
        <w:rPr>
          <w:rFonts w:ascii="Verdana" w:eastAsia="Calibri" w:hAnsi="Verdana" w:cs="Calibri"/>
          <w:noProof/>
          <w:lang w:eastAsia="en-US"/>
        </w:rPr>
        <w:instrText xml:space="preserve"> </w:instrText>
      </w:r>
      <w:r w:rsidR="00CE4724">
        <w:rPr>
          <w:rFonts w:ascii="Verdana" w:eastAsia="Calibri" w:hAnsi="Verdana" w:cs="Calibri"/>
          <w:noProof/>
          <w:lang w:eastAsia="en-US"/>
        </w:rPr>
        <w:fldChar w:fldCharType="separate"/>
      </w:r>
      <w:r w:rsidR="00CE4724">
        <w:rPr>
          <w:rFonts w:ascii="Verdana" w:eastAsia="Calibri" w:hAnsi="Verdana" w:cs="Calibri"/>
          <w:noProof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6pt;height:38.25pt;visibility:visible">
            <v:imagedata r:id="rId7" r:href="rId8"/>
          </v:shape>
        </w:pict>
      </w:r>
      <w:r w:rsidR="00CE4724">
        <w:rPr>
          <w:rFonts w:ascii="Verdana" w:eastAsia="Calibri" w:hAnsi="Verdana" w:cs="Calibri"/>
          <w:noProof/>
          <w:lang w:eastAsia="en-US"/>
        </w:rPr>
        <w:fldChar w:fldCharType="end"/>
      </w:r>
    </w:p>
    <w:p w:rsidR="00CE4724" w:rsidRDefault="00CE4724" w:rsidP="00CE4724">
      <w:pPr>
        <w:ind w:left="360"/>
        <w:jc w:val="both"/>
        <w:rPr>
          <w:rFonts w:ascii="Verdana" w:eastAsia="Calibri" w:hAnsi="Verdana" w:cs="Calibri"/>
          <w:b/>
          <w:lang w:eastAsia="en-US"/>
        </w:rPr>
      </w:pPr>
      <w:r>
        <w:rPr>
          <w:rFonts w:ascii="Verdana" w:eastAsia="Calibri" w:hAnsi="Verdana" w:cs="Calibri"/>
          <w:b/>
          <w:lang w:eastAsia="en-US"/>
        </w:rPr>
        <w:t xml:space="preserve">Odp.: Odp.: Zamawiający zamieszcza projekt w nowym, zaktualizowanym  linku: </w:t>
      </w:r>
      <w:hyperlink r:id="rId9" w:history="1">
        <w:r>
          <w:rPr>
            <w:rStyle w:val="Hipercze"/>
            <w:rFonts w:ascii="Verdana" w:hAnsi="Verdana"/>
          </w:rPr>
          <w:t>http://di.adm.agh.edu.pl/przetargi/di/kn/U-11_dach_fotowoltaika_aktualizacja/</w:t>
        </w:r>
      </w:hyperlink>
    </w:p>
    <w:p w:rsidR="00CE4724" w:rsidRDefault="00CE4724" w:rsidP="00CE4724">
      <w:pPr>
        <w:ind w:left="360"/>
        <w:jc w:val="both"/>
        <w:rPr>
          <w:rFonts w:ascii="Verdana" w:eastAsia="Calibri" w:hAnsi="Verdana" w:cs="Calibri"/>
          <w:lang w:eastAsia="en-US"/>
        </w:rPr>
      </w:pPr>
    </w:p>
    <w:p w:rsidR="00CE4724" w:rsidRDefault="00CE4724" w:rsidP="00CE4724">
      <w:pPr>
        <w:numPr>
          <w:ilvl w:val="0"/>
          <w:numId w:val="8"/>
        </w:numPr>
        <w:jc w:val="both"/>
        <w:rPr>
          <w:rFonts w:ascii="Verdana" w:hAnsi="Verdana" w:cs="Calibri"/>
          <w:lang w:eastAsia="en-US"/>
        </w:rPr>
      </w:pPr>
      <w:r>
        <w:rPr>
          <w:rFonts w:ascii="Verdana" w:hAnsi="Verdana" w:cs="Calibri"/>
          <w:lang w:eastAsia="en-US"/>
        </w:rPr>
        <w:t xml:space="preserve">Czy pomieszczenie, w którym znajduje się falownik od instalacji fotowoltaicznej ma zapewnione chłodzenie lub wentylacje będącą w stanie odprowadzić wydzielaną energię cieplną? </w:t>
      </w:r>
    </w:p>
    <w:p w:rsidR="00CE4724" w:rsidRDefault="00CE4724" w:rsidP="00CE4724">
      <w:pPr>
        <w:ind w:left="360"/>
        <w:jc w:val="both"/>
        <w:rPr>
          <w:rFonts w:ascii="Verdana" w:hAnsi="Verdana"/>
          <w:b/>
          <w:lang w:eastAsia="ar-SA"/>
        </w:rPr>
      </w:pPr>
      <w:bookmarkStart w:id="0" w:name="_GoBack"/>
      <w:bookmarkEnd w:id="0"/>
    </w:p>
    <w:p w:rsidR="00CE4724" w:rsidRDefault="00CE4724" w:rsidP="00CE4724">
      <w:pPr>
        <w:ind w:left="36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Odp.: Zamawiający informuje, że należy wycenić montaż klimatyzatora typu </w:t>
      </w:r>
      <w:proofErr w:type="spellStart"/>
      <w:r>
        <w:rPr>
          <w:rFonts w:ascii="Verdana" w:hAnsi="Verdana"/>
          <w:b/>
        </w:rPr>
        <w:t>split</w:t>
      </w:r>
      <w:proofErr w:type="spellEnd"/>
      <w:r>
        <w:rPr>
          <w:rFonts w:ascii="Verdana" w:hAnsi="Verdana"/>
          <w:b/>
        </w:rPr>
        <w:t xml:space="preserve"> o mocy min. 3,5kW. Jednostkę wewnętrzną należy zamontować w pomieszczeniu z falownikiem nr 2.23 (rys. nr E2) natomiast jednostkę zewnętrzną zamontować na poziomie piwnic.  </w:t>
      </w:r>
    </w:p>
    <w:p w:rsidR="00CE4724" w:rsidRDefault="00CE4724" w:rsidP="00CE4724">
      <w:pPr>
        <w:ind w:left="360"/>
        <w:jc w:val="both"/>
        <w:rPr>
          <w:rFonts w:ascii="Verdana" w:eastAsia="Calibri" w:hAnsi="Verdana" w:cs="Calibri"/>
          <w:b/>
          <w:lang w:eastAsia="en-US"/>
        </w:rPr>
      </w:pPr>
    </w:p>
    <w:p w:rsidR="00CE4724" w:rsidRDefault="00CE4724" w:rsidP="00CE4724">
      <w:pPr>
        <w:numPr>
          <w:ilvl w:val="0"/>
          <w:numId w:val="8"/>
        </w:numPr>
        <w:jc w:val="both"/>
        <w:rPr>
          <w:rFonts w:ascii="Verdana" w:hAnsi="Verdana" w:cs="Calibri"/>
          <w:lang w:eastAsia="en-US"/>
        </w:rPr>
      </w:pPr>
      <w:r>
        <w:rPr>
          <w:rFonts w:ascii="Verdana" w:hAnsi="Verdana" w:cs="Calibri"/>
          <w:lang w:eastAsia="en-US"/>
        </w:rPr>
        <w:t>Czy w ofercie należy uwzględnić wymianę zwodów odprowadzających instalacji odgromowej w relacji dach-Złącze Kontrolne ZK?</w:t>
      </w:r>
    </w:p>
    <w:p w:rsidR="00CE4724" w:rsidRDefault="00CE4724" w:rsidP="00CE4724">
      <w:pPr>
        <w:ind w:left="360"/>
        <w:jc w:val="both"/>
        <w:rPr>
          <w:rFonts w:ascii="Verdana" w:eastAsia="Calibri" w:hAnsi="Verdana" w:cs="Calibri"/>
          <w:b/>
          <w:lang w:eastAsia="en-US"/>
        </w:rPr>
      </w:pPr>
    </w:p>
    <w:p w:rsidR="00CE4724" w:rsidRDefault="00CE4724" w:rsidP="00CE4724">
      <w:pPr>
        <w:ind w:left="360"/>
        <w:jc w:val="both"/>
        <w:rPr>
          <w:rFonts w:ascii="Verdana" w:eastAsia="Calibri" w:hAnsi="Verdana" w:cs="Calibri"/>
          <w:b/>
          <w:lang w:eastAsia="en-US"/>
        </w:rPr>
      </w:pPr>
      <w:r>
        <w:rPr>
          <w:rFonts w:ascii="Verdana" w:eastAsia="Calibri" w:hAnsi="Verdana" w:cs="Calibri"/>
          <w:b/>
          <w:lang w:eastAsia="en-US"/>
        </w:rPr>
        <w:t>Odp.: Przewody odprowadzające należy wymienić zgodnie z projektem na stalowe nierdzewne.</w:t>
      </w:r>
    </w:p>
    <w:p w:rsidR="00CE4724" w:rsidRDefault="00CE4724" w:rsidP="00CE4724">
      <w:pPr>
        <w:ind w:left="360"/>
        <w:jc w:val="both"/>
        <w:rPr>
          <w:rFonts w:ascii="Verdana" w:hAnsi="Verdana" w:cs="Calibri"/>
          <w:lang w:eastAsia="en-US"/>
        </w:rPr>
      </w:pPr>
    </w:p>
    <w:p w:rsidR="00CE4724" w:rsidRDefault="00CE4724" w:rsidP="00CE4724">
      <w:pPr>
        <w:numPr>
          <w:ilvl w:val="0"/>
          <w:numId w:val="8"/>
        </w:numPr>
        <w:jc w:val="both"/>
        <w:rPr>
          <w:rFonts w:ascii="Verdana" w:hAnsi="Verdana" w:cs="Calibri"/>
          <w:lang w:eastAsia="en-US"/>
        </w:rPr>
      </w:pPr>
      <w:r>
        <w:rPr>
          <w:rFonts w:ascii="Verdana" w:hAnsi="Verdana" w:cs="Calibri"/>
          <w:lang w:eastAsia="en-US"/>
        </w:rPr>
        <w:lastRenderedPageBreak/>
        <w:t>Prosimy wskazać pkt z którego należy doprowadzić sieć LAN do pomieszczenia z falownikiem.</w:t>
      </w:r>
    </w:p>
    <w:p w:rsidR="00CE4724" w:rsidRDefault="00CE4724" w:rsidP="00CE4724">
      <w:pPr>
        <w:ind w:left="360"/>
        <w:jc w:val="both"/>
        <w:rPr>
          <w:rFonts w:ascii="Verdana" w:hAnsi="Verdana"/>
          <w:b/>
          <w:lang w:eastAsia="ar-SA"/>
        </w:rPr>
      </w:pPr>
      <w:r>
        <w:rPr>
          <w:rFonts w:ascii="Verdana" w:eastAsia="Calibri" w:hAnsi="Verdana" w:cs="Calibri"/>
          <w:b/>
          <w:lang w:eastAsia="en-US"/>
        </w:rPr>
        <w:t xml:space="preserve">Odp.: </w:t>
      </w:r>
      <w:r>
        <w:rPr>
          <w:rFonts w:ascii="Verdana" w:hAnsi="Verdana"/>
          <w:b/>
        </w:rPr>
        <w:t>Zamawiający informuje, że sieć LAN należy doprowadzić do pomieszczenia nr. 0.51 punktu dystrybucyjnego na poziomie piwnic nr rys. E4.</w:t>
      </w:r>
    </w:p>
    <w:p w:rsidR="00CE4724" w:rsidRDefault="00CE4724" w:rsidP="00CE4724">
      <w:pPr>
        <w:ind w:left="360"/>
        <w:jc w:val="both"/>
        <w:rPr>
          <w:rFonts w:ascii="Verdana" w:hAnsi="Verdana" w:cs="Calibri"/>
          <w:lang w:eastAsia="en-US"/>
        </w:rPr>
      </w:pPr>
    </w:p>
    <w:p w:rsidR="00CE4724" w:rsidRDefault="00CE4724" w:rsidP="00CE4724">
      <w:pPr>
        <w:numPr>
          <w:ilvl w:val="0"/>
          <w:numId w:val="8"/>
        </w:numPr>
        <w:jc w:val="both"/>
        <w:rPr>
          <w:rFonts w:ascii="Verdana" w:hAnsi="Verdana" w:cs="Calibri"/>
          <w:lang w:eastAsia="en-US"/>
        </w:rPr>
      </w:pPr>
      <w:r>
        <w:rPr>
          <w:rFonts w:ascii="Verdana" w:hAnsi="Verdana" w:cs="Calibri"/>
          <w:lang w:eastAsia="en-US"/>
        </w:rPr>
        <w:t>Prosimy wskazać pkt z którego należy doprowadzić sieć LAN do szafy RGPV, prosimy wskazać lokalizację szafy RGPV</w:t>
      </w:r>
    </w:p>
    <w:p w:rsidR="00CE4724" w:rsidRDefault="00CE4724" w:rsidP="00CE4724">
      <w:pPr>
        <w:ind w:left="360"/>
        <w:jc w:val="both"/>
        <w:rPr>
          <w:rFonts w:ascii="Verdana" w:eastAsia="Calibri" w:hAnsi="Verdana" w:cs="Calibri"/>
          <w:b/>
          <w:lang w:eastAsia="en-US"/>
        </w:rPr>
      </w:pPr>
    </w:p>
    <w:p w:rsidR="00CE4724" w:rsidRDefault="00CE4724" w:rsidP="00CE4724">
      <w:pPr>
        <w:ind w:left="360"/>
        <w:jc w:val="both"/>
        <w:rPr>
          <w:rFonts w:ascii="Verdana" w:eastAsia="Calibri" w:hAnsi="Verdana" w:cs="Calibri"/>
          <w:b/>
          <w:lang w:eastAsia="en-US"/>
        </w:rPr>
      </w:pPr>
      <w:r>
        <w:rPr>
          <w:rFonts w:ascii="Verdana" w:eastAsia="Calibri" w:hAnsi="Verdana" w:cs="Calibri"/>
          <w:b/>
          <w:lang w:eastAsia="en-US"/>
        </w:rPr>
        <w:t xml:space="preserve">Odp.: </w:t>
      </w:r>
      <w:r>
        <w:rPr>
          <w:rFonts w:ascii="Verdana" w:hAnsi="Verdana"/>
          <w:b/>
        </w:rPr>
        <w:t>Zamawiający informuje, że sieć LAN należy doprowadzić do pomieszczenia nr. 0.51 (punkt dystrybucyjny) na poziomie piwnic. Szafa RGPV (RPV) znajduje się w pom. 2.23 rys. nr E2.</w:t>
      </w:r>
    </w:p>
    <w:p w:rsidR="00CE4724" w:rsidRDefault="00CE4724" w:rsidP="00CE4724">
      <w:pPr>
        <w:ind w:left="360"/>
        <w:jc w:val="both"/>
        <w:rPr>
          <w:rFonts w:ascii="Verdana" w:hAnsi="Verdana" w:cs="Calibri"/>
          <w:lang w:eastAsia="en-US"/>
        </w:rPr>
      </w:pPr>
    </w:p>
    <w:p w:rsidR="00CE4724" w:rsidRDefault="00CE4724" w:rsidP="00CE4724">
      <w:pPr>
        <w:numPr>
          <w:ilvl w:val="0"/>
          <w:numId w:val="8"/>
        </w:numPr>
        <w:jc w:val="both"/>
        <w:rPr>
          <w:rFonts w:ascii="Verdana" w:hAnsi="Verdana" w:cs="Calibri"/>
          <w:lang w:eastAsia="en-US"/>
        </w:rPr>
      </w:pPr>
      <w:r>
        <w:rPr>
          <w:rFonts w:ascii="Verdana" w:hAnsi="Verdana" w:cs="Calibri"/>
          <w:lang w:eastAsia="en-US"/>
        </w:rPr>
        <w:t>Prosimy o doprecyzowanie materiału w instalacji odgromowej „drut stalowy nierdzewny” prosimy o podanie konkretnego typu przewodu oraz uchwytów do instalacji odgromowej.</w:t>
      </w:r>
    </w:p>
    <w:p w:rsidR="00CE4724" w:rsidRDefault="00CE4724" w:rsidP="00CE4724">
      <w:pPr>
        <w:ind w:left="360"/>
        <w:jc w:val="both"/>
        <w:rPr>
          <w:rFonts w:ascii="Verdana" w:eastAsia="Calibri" w:hAnsi="Verdana" w:cs="Calibri"/>
          <w:b/>
          <w:lang w:eastAsia="en-US"/>
        </w:rPr>
      </w:pPr>
    </w:p>
    <w:p w:rsidR="00CE4724" w:rsidRDefault="00CE4724" w:rsidP="00CE4724">
      <w:pPr>
        <w:ind w:left="360"/>
        <w:jc w:val="both"/>
        <w:rPr>
          <w:rFonts w:ascii="Verdana" w:eastAsia="Calibri" w:hAnsi="Verdana" w:cs="Calibri"/>
          <w:b/>
          <w:lang w:eastAsia="en-US"/>
        </w:rPr>
      </w:pPr>
      <w:r>
        <w:rPr>
          <w:rFonts w:ascii="Verdana" w:eastAsia="Calibri" w:hAnsi="Verdana" w:cs="Calibri"/>
          <w:b/>
          <w:lang w:eastAsia="en-US"/>
        </w:rPr>
        <w:t xml:space="preserve">Odp.: </w:t>
      </w:r>
      <w:r>
        <w:rPr>
          <w:rFonts w:ascii="Verdana" w:hAnsi="Verdana"/>
          <w:b/>
        </w:rPr>
        <w:t>Zamawiający informuje, że</w:t>
      </w:r>
      <w:r>
        <w:rPr>
          <w:rFonts w:ascii="Verdana" w:eastAsia="Calibri" w:hAnsi="Verdana" w:cs="Calibri"/>
          <w:b/>
          <w:lang w:eastAsia="en-US"/>
        </w:rPr>
        <w:t xml:space="preserve"> należy użyć drutu stalowego nierdzewnego gr. 8 mm, rodzaj stali V4a. Szczegółowe informacje dotyczące uchwytów do instalacji odgromowej ujęto w projekcie wykonawczym (branża instalacje elektryczne i konstrukcje wsporcze).</w:t>
      </w:r>
    </w:p>
    <w:p w:rsidR="00CE4724" w:rsidRDefault="00CE4724" w:rsidP="00CE4724">
      <w:pPr>
        <w:ind w:left="360"/>
        <w:jc w:val="both"/>
        <w:rPr>
          <w:rFonts w:ascii="Verdana" w:hAnsi="Verdana" w:cs="Calibri"/>
          <w:lang w:eastAsia="en-US"/>
        </w:rPr>
      </w:pPr>
    </w:p>
    <w:p w:rsidR="00CE4724" w:rsidRDefault="00CE4724" w:rsidP="00CE4724">
      <w:pPr>
        <w:numPr>
          <w:ilvl w:val="0"/>
          <w:numId w:val="8"/>
        </w:numPr>
        <w:jc w:val="both"/>
        <w:rPr>
          <w:rFonts w:ascii="Verdana" w:hAnsi="Verdana" w:cs="Calibri"/>
          <w:lang w:eastAsia="en-US"/>
        </w:rPr>
      </w:pPr>
      <w:r>
        <w:rPr>
          <w:rFonts w:ascii="Verdana" w:hAnsi="Verdana" w:cs="Calibri"/>
          <w:lang w:eastAsia="en-US"/>
        </w:rPr>
        <w:t>Wymiana licznika energii elektrycznej jest w zakresie GW czy Zakładu Energetycznego?</w:t>
      </w:r>
    </w:p>
    <w:p w:rsidR="00CE4724" w:rsidRDefault="00CE4724" w:rsidP="00CE4724">
      <w:pPr>
        <w:ind w:left="284"/>
        <w:jc w:val="both"/>
        <w:rPr>
          <w:rFonts w:ascii="Verdana" w:hAnsi="Verdana"/>
          <w:b/>
          <w:lang w:eastAsia="ar-SA"/>
        </w:rPr>
      </w:pPr>
    </w:p>
    <w:p w:rsidR="00CE4724" w:rsidRDefault="00CE4724" w:rsidP="00CE4724">
      <w:pPr>
        <w:ind w:left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Odp.: Zamawiający informuje, że w ofercie należy wycenić wymianę licznika energii elektrycznej.</w:t>
      </w:r>
    </w:p>
    <w:p w:rsidR="00CE4724" w:rsidRDefault="00CE4724" w:rsidP="00CE4724">
      <w:pPr>
        <w:ind w:left="360"/>
        <w:jc w:val="both"/>
        <w:rPr>
          <w:rFonts w:ascii="Verdana" w:eastAsia="Calibri" w:hAnsi="Verdana" w:cs="Calibri"/>
          <w:b/>
          <w:lang w:eastAsia="en-US"/>
        </w:rPr>
      </w:pPr>
    </w:p>
    <w:p w:rsidR="00CE4724" w:rsidRDefault="00CE4724" w:rsidP="00CE4724">
      <w:pPr>
        <w:ind w:left="360"/>
        <w:jc w:val="both"/>
        <w:rPr>
          <w:rFonts w:ascii="Verdana" w:hAnsi="Verdana" w:cs="Calibri"/>
          <w:lang w:eastAsia="en-US"/>
        </w:rPr>
      </w:pPr>
    </w:p>
    <w:p w:rsidR="00CE4724" w:rsidRDefault="00CE4724" w:rsidP="00CE4724">
      <w:pPr>
        <w:numPr>
          <w:ilvl w:val="0"/>
          <w:numId w:val="8"/>
        </w:numPr>
        <w:jc w:val="both"/>
        <w:rPr>
          <w:rFonts w:ascii="Verdana" w:hAnsi="Verdana" w:cs="Calibri"/>
          <w:lang w:eastAsia="en-US"/>
        </w:rPr>
      </w:pPr>
      <w:r>
        <w:rPr>
          <w:rFonts w:ascii="Verdana" w:hAnsi="Verdana" w:cs="Calibri"/>
          <w:lang w:eastAsia="en-US"/>
        </w:rPr>
        <w:t>Czy są inne liczniki energii elektrycznej poza licznikiem Zakładu Energetycznego (Tauron) które należy wymienić?</w:t>
      </w:r>
    </w:p>
    <w:p w:rsidR="00CE4724" w:rsidRDefault="00CE4724" w:rsidP="00CE4724">
      <w:pPr>
        <w:ind w:left="284"/>
        <w:jc w:val="both"/>
        <w:rPr>
          <w:rFonts w:ascii="Verdana" w:hAnsi="Verdana"/>
          <w:b/>
          <w:lang w:eastAsia="ar-SA"/>
        </w:rPr>
      </w:pPr>
    </w:p>
    <w:p w:rsidR="00CE4724" w:rsidRDefault="00CE4724" w:rsidP="00CE4724">
      <w:pPr>
        <w:ind w:left="284"/>
        <w:jc w:val="both"/>
        <w:rPr>
          <w:rFonts w:ascii="Verdana" w:hAnsi="Verdana"/>
        </w:rPr>
      </w:pPr>
      <w:r>
        <w:rPr>
          <w:rFonts w:ascii="Verdana" w:hAnsi="Verdana"/>
          <w:b/>
        </w:rPr>
        <w:t>Odp.: Zamawiający informuje, że poza licznikiem energii elektrycznej Zakładu Energetycznego (Tauron) nie ma innych liczników, których wymianę należy wycenić.</w:t>
      </w:r>
    </w:p>
    <w:p w:rsidR="00CE4724" w:rsidRDefault="00CE4724" w:rsidP="00CE4724">
      <w:pPr>
        <w:ind w:left="360"/>
        <w:jc w:val="both"/>
        <w:rPr>
          <w:rFonts w:ascii="Verdana" w:eastAsia="Calibri" w:hAnsi="Verdana" w:cs="Calibri"/>
          <w:b/>
          <w:lang w:eastAsia="en-US"/>
        </w:rPr>
      </w:pPr>
    </w:p>
    <w:p w:rsidR="00CE4724" w:rsidRDefault="00CE4724" w:rsidP="00CE4724">
      <w:pPr>
        <w:ind w:left="360"/>
        <w:jc w:val="both"/>
        <w:rPr>
          <w:rFonts w:ascii="Verdana" w:hAnsi="Verdana" w:cs="Calibri"/>
          <w:lang w:eastAsia="en-US"/>
        </w:rPr>
      </w:pPr>
    </w:p>
    <w:p w:rsidR="00CE4724" w:rsidRDefault="00CE4724" w:rsidP="00CE4724">
      <w:pPr>
        <w:numPr>
          <w:ilvl w:val="0"/>
          <w:numId w:val="8"/>
        </w:numPr>
        <w:jc w:val="both"/>
        <w:rPr>
          <w:rFonts w:ascii="Verdana" w:hAnsi="Verdana" w:cs="Calibri"/>
          <w:lang w:eastAsia="en-US"/>
        </w:rPr>
      </w:pPr>
      <w:r>
        <w:rPr>
          <w:rFonts w:ascii="Verdana" w:hAnsi="Verdana" w:cs="Calibri"/>
          <w:lang w:eastAsia="en-US"/>
        </w:rPr>
        <w:t xml:space="preserve">Czy w rozdzielnicy </w:t>
      </w:r>
      <w:proofErr w:type="spellStart"/>
      <w:r>
        <w:rPr>
          <w:rFonts w:ascii="Verdana" w:hAnsi="Verdana" w:cs="Calibri"/>
          <w:lang w:eastAsia="en-US"/>
        </w:rPr>
        <w:t>RGnN</w:t>
      </w:r>
      <w:proofErr w:type="spellEnd"/>
      <w:r>
        <w:rPr>
          <w:rFonts w:ascii="Verdana" w:hAnsi="Verdana" w:cs="Calibri"/>
          <w:lang w:eastAsia="en-US"/>
        </w:rPr>
        <w:t xml:space="preserve"> budynku jest rezerwowe zabezpieczenie przewidziane do podłączenia instalacji fotowoltaicznej? Jeżeli nie to prosimy o udostępnienie schematu dotyczącego rozbudowy </w:t>
      </w:r>
      <w:proofErr w:type="spellStart"/>
      <w:r>
        <w:rPr>
          <w:rFonts w:ascii="Verdana" w:hAnsi="Verdana" w:cs="Calibri"/>
          <w:lang w:eastAsia="en-US"/>
        </w:rPr>
        <w:t>RGnN</w:t>
      </w:r>
      <w:proofErr w:type="spellEnd"/>
      <w:r>
        <w:rPr>
          <w:rFonts w:ascii="Verdana" w:hAnsi="Verdana" w:cs="Calibri"/>
          <w:lang w:eastAsia="en-US"/>
        </w:rPr>
        <w:t>.</w:t>
      </w:r>
    </w:p>
    <w:p w:rsidR="00CE4724" w:rsidRDefault="00CE4724" w:rsidP="00CE4724">
      <w:pPr>
        <w:ind w:left="360"/>
        <w:jc w:val="both"/>
        <w:rPr>
          <w:rFonts w:ascii="Verdana" w:eastAsia="Calibri" w:hAnsi="Verdana" w:cs="Calibri"/>
          <w:b/>
          <w:lang w:eastAsia="en-US"/>
        </w:rPr>
      </w:pPr>
    </w:p>
    <w:p w:rsidR="00CE4724" w:rsidRDefault="00CE4724" w:rsidP="00CE4724">
      <w:pPr>
        <w:ind w:left="360"/>
        <w:jc w:val="both"/>
        <w:rPr>
          <w:rStyle w:val="Pogrubienie"/>
          <w:lang w:eastAsia="ar-SA"/>
        </w:rPr>
      </w:pPr>
      <w:r>
        <w:rPr>
          <w:rFonts w:ascii="Verdana" w:eastAsia="Calibri" w:hAnsi="Verdana" w:cs="Calibri"/>
          <w:b/>
          <w:lang w:eastAsia="en-US"/>
        </w:rPr>
        <w:t xml:space="preserve">Odp.: </w:t>
      </w:r>
      <w:r>
        <w:rPr>
          <w:rStyle w:val="Pogrubienie"/>
          <w:rFonts w:ascii="Verdana" w:hAnsi="Verdana"/>
        </w:rPr>
        <w:t xml:space="preserve">Zamawiający informuje, że w </w:t>
      </w:r>
      <w:proofErr w:type="spellStart"/>
      <w:r>
        <w:rPr>
          <w:rStyle w:val="Pogrubienie"/>
          <w:rFonts w:ascii="Verdana" w:hAnsi="Verdana"/>
        </w:rPr>
        <w:t>RGnN</w:t>
      </w:r>
      <w:proofErr w:type="spellEnd"/>
      <w:r>
        <w:rPr>
          <w:rStyle w:val="Pogrubienie"/>
          <w:rFonts w:ascii="Verdana" w:hAnsi="Verdana"/>
        </w:rPr>
        <w:t xml:space="preserve"> nie ma rezerwowego zabezpieczenia przewidzianego do podłączenia instalacji fotowoltaicznej. W ofercie należy wycenić doposażenie rozdzielnicy </w:t>
      </w:r>
      <w:proofErr w:type="spellStart"/>
      <w:r>
        <w:rPr>
          <w:rStyle w:val="Pogrubienie"/>
          <w:rFonts w:ascii="Verdana" w:hAnsi="Verdana"/>
        </w:rPr>
        <w:t>RGnN</w:t>
      </w:r>
      <w:proofErr w:type="spellEnd"/>
      <w:r>
        <w:rPr>
          <w:rStyle w:val="Pogrubienie"/>
          <w:rFonts w:ascii="Verdana" w:hAnsi="Verdana"/>
        </w:rPr>
        <w:t xml:space="preserve">. Schemat rozdzielnicy </w:t>
      </w:r>
      <w:proofErr w:type="spellStart"/>
      <w:r>
        <w:rPr>
          <w:rStyle w:val="Pogrubienie"/>
          <w:rFonts w:ascii="Verdana" w:hAnsi="Verdana"/>
        </w:rPr>
        <w:t>RGnN</w:t>
      </w:r>
      <w:proofErr w:type="spellEnd"/>
      <w:r>
        <w:rPr>
          <w:rStyle w:val="Pogrubienie"/>
          <w:rFonts w:ascii="Verdana" w:hAnsi="Verdana"/>
        </w:rPr>
        <w:t xml:space="preserve"> znajduje się w dokumentacji projektowej.</w:t>
      </w:r>
    </w:p>
    <w:p w:rsidR="00CE4724" w:rsidRDefault="00CE4724" w:rsidP="00CE4724">
      <w:pPr>
        <w:ind w:left="360"/>
        <w:jc w:val="both"/>
        <w:rPr>
          <w:rFonts w:cs="Calibri"/>
          <w:lang w:eastAsia="en-US"/>
        </w:rPr>
      </w:pPr>
    </w:p>
    <w:p w:rsidR="00CE4724" w:rsidRDefault="00CE4724" w:rsidP="00CE4724">
      <w:pPr>
        <w:numPr>
          <w:ilvl w:val="0"/>
          <w:numId w:val="8"/>
        </w:numPr>
        <w:jc w:val="both"/>
        <w:rPr>
          <w:rFonts w:ascii="Verdana" w:hAnsi="Verdana" w:cs="Calibri"/>
          <w:lang w:eastAsia="en-US"/>
        </w:rPr>
      </w:pPr>
      <w:r>
        <w:rPr>
          <w:rFonts w:ascii="Verdana" w:hAnsi="Verdana" w:cs="Calibri"/>
          <w:lang w:eastAsia="en-US"/>
        </w:rPr>
        <w:t>Czy odłączenie istniejących wentylatorów i demontaż zasilania elektrycznego jest przedmiotem przetargu?</w:t>
      </w:r>
    </w:p>
    <w:p w:rsidR="00CE4724" w:rsidRDefault="00CE4724" w:rsidP="00CE4724">
      <w:pPr>
        <w:ind w:left="284"/>
        <w:jc w:val="both"/>
        <w:rPr>
          <w:rFonts w:ascii="Verdana" w:hAnsi="Verdana"/>
          <w:b/>
          <w:lang w:eastAsia="ar-SA"/>
        </w:rPr>
      </w:pPr>
    </w:p>
    <w:p w:rsidR="00CE4724" w:rsidRDefault="00CE4724" w:rsidP="00CE4724">
      <w:pPr>
        <w:ind w:left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Odp.: Odłączenie od  zasilania  i demontaż istniejących wentylatorów jest konieczny w celu wykonania wymiany pokrycia dachowego. Po wykonaniu nowego pokrycia należy zamontować i podłączyć nowe wentylatory, zgodnie z projektem i przedmiarem robót budowlanych.</w:t>
      </w:r>
    </w:p>
    <w:p w:rsidR="00CE4724" w:rsidRDefault="00CE4724" w:rsidP="00CE4724">
      <w:pPr>
        <w:ind w:left="284"/>
        <w:jc w:val="both"/>
        <w:rPr>
          <w:rFonts w:ascii="Verdana" w:hAnsi="Verdana"/>
          <w:b/>
        </w:rPr>
      </w:pPr>
    </w:p>
    <w:p w:rsidR="00CE4724" w:rsidRDefault="00CE4724" w:rsidP="00CE4724">
      <w:pPr>
        <w:numPr>
          <w:ilvl w:val="0"/>
          <w:numId w:val="8"/>
        </w:numPr>
        <w:jc w:val="both"/>
        <w:rPr>
          <w:rFonts w:ascii="Verdana" w:hAnsi="Verdana" w:cs="Calibri"/>
          <w:lang w:eastAsia="en-US"/>
        </w:rPr>
      </w:pPr>
      <w:r>
        <w:rPr>
          <w:rFonts w:ascii="Verdana" w:hAnsi="Verdana" w:cs="Calibri"/>
          <w:lang w:eastAsia="en-US"/>
        </w:rPr>
        <w:t xml:space="preserve">Czy Zamawiający dopuszcza zastosowanie </w:t>
      </w:r>
      <w:r>
        <w:rPr>
          <w:rFonts w:ascii="Verdana" w:eastAsia="Calibri" w:hAnsi="Verdana" w:cs="Calibri"/>
          <w:lang w:eastAsia="en-US"/>
        </w:rPr>
        <w:t xml:space="preserve">innej równoważnej folii </w:t>
      </w:r>
      <w:proofErr w:type="spellStart"/>
      <w:r>
        <w:rPr>
          <w:rFonts w:ascii="Verdana" w:eastAsia="Calibri" w:hAnsi="Verdana" w:cs="Calibri"/>
          <w:lang w:eastAsia="en-US"/>
        </w:rPr>
        <w:t>laminacyjnej</w:t>
      </w:r>
      <w:proofErr w:type="spellEnd"/>
      <w:r>
        <w:rPr>
          <w:rFonts w:ascii="Verdana" w:hAnsi="Verdana" w:cs="Calibri"/>
          <w:lang w:eastAsia="en-US"/>
        </w:rPr>
        <w:t xml:space="preserve"> niż PVB, która ma takie same właściwości technologiczne i jest odporniejsza na penetracje przez wodę?</w:t>
      </w:r>
    </w:p>
    <w:p w:rsidR="00CE4724" w:rsidRDefault="00CE4724" w:rsidP="00CE4724">
      <w:pPr>
        <w:spacing w:after="160" w:line="256" w:lineRule="auto"/>
        <w:ind w:left="284"/>
        <w:jc w:val="both"/>
        <w:rPr>
          <w:rFonts w:ascii="Verdana" w:hAnsi="Verdana"/>
          <w:b/>
          <w:lang w:eastAsia="ar-SA"/>
        </w:rPr>
      </w:pPr>
    </w:p>
    <w:p w:rsidR="00CE4724" w:rsidRDefault="00CE4724" w:rsidP="00CE4724">
      <w:pPr>
        <w:ind w:left="36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Odp.: Zamawiający dopuszcza zastosowanie folii </w:t>
      </w:r>
      <w:proofErr w:type="spellStart"/>
      <w:r>
        <w:rPr>
          <w:rFonts w:ascii="Verdana" w:hAnsi="Verdana"/>
          <w:b/>
        </w:rPr>
        <w:t>laminacyjnej</w:t>
      </w:r>
      <w:proofErr w:type="spellEnd"/>
      <w:r>
        <w:rPr>
          <w:rFonts w:ascii="Verdana" w:hAnsi="Verdana"/>
          <w:b/>
        </w:rPr>
        <w:t xml:space="preserve"> PVB lub równoważnej przy spełnieniu parametrów równych lub wyższych do tych jakie posiada folia PVB.</w:t>
      </w:r>
    </w:p>
    <w:p w:rsidR="00CE4724" w:rsidRDefault="00CE4724" w:rsidP="00CE4724">
      <w:pPr>
        <w:ind w:left="360"/>
        <w:jc w:val="both"/>
        <w:rPr>
          <w:rFonts w:ascii="Verdana" w:hAnsi="Verdana" w:cs="Calibri"/>
          <w:lang w:eastAsia="en-US"/>
        </w:rPr>
      </w:pPr>
    </w:p>
    <w:p w:rsidR="00CE4724" w:rsidRDefault="00CE4724" w:rsidP="00CE4724">
      <w:pPr>
        <w:numPr>
          <w:ilvl w:val="0"/>
          <w:numId w:val="8"/>
        </w:numPr>
        <w:jc w:val="both"/>
        <w:rPr>
          <w:rFonts w:ascii="Verdana" w:hAnsi="Verdana" w:cs="Calibri"/>
          <w:lang w:eastAsia="en-US"/>
        </w:rPr>
      </w:pPr>
      <w:r>
        <w:rPr>
          <w:rFonts w:ascii="Verdana" w:hAnsi="Verdana" w:cs="Calibri"/>
          <w:lang w:eastAsia="en-US"/>
        </w:rPr>
        <w:t>Wnosimy o wykreślenie wymogu posiadania przez Wykonawcę instalacji fotowoltaicznej ISO 14001 oraz ISO 45001 ,które nie są niezbędne do prawidłowej realizacji zamówienia. W naszej ocenie wystarczającym certyfikatem jest ISO 9001 gwarantującym Klientowi wysokość jakość wyrobów i usług, dodatkowo wartym zauważanie jest, iż tak postawione warunki w specyfikacji jednoznacznie wskazują tylko na jednego producenta w Polsce, co w naszej ocenie jest ograniczaniem konkurencji.</w:t>
      </w:r>
    </w:p>
    <w:p w:rsidR="00CE4724" w:rsidRDefault="00CE4724" w:rsidP="00CE4724">
      <w:pPr>
        <w:ind w:left="284"/>
        <w:jc w:val="both"/>
        <w:rPr>
          <w:rFonts w:ascii="Verdana" w:hAnsi="Verdana"/>
          <w:b/>
          <w:lang w:eastAsia="ar-SA"/>
        </w:rPr>
      </w:pPr>
    </w:p>
    <w:p w:rsidR="00CE4724" w:rsidRDefault="00CE4724" w:rsidP="00CE4724">
      <w:pPr>
        <w:ind w:left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Odp.: Zamawiający informuje, że nie wymaga posiadania przez Wykonawcę instalacji fotowoltaicznej ISO 14001 oraz ISO 45001. Jednocześnie informujemy, że w celu potwierdzenia, jakości oferowanych produktów wymagane jest, aby producent modułów fotowoltaicznych posiadał certyfikat ISO 9001 lub równoważny. Przedmiotowy certyfikat powinien stanowić załącznik do „Karty zatwierdzenia/zamiany materiałów i urządzeń do wbudowania”.</w:t>
      </w:r>
    </w:p>
    <w:p w:rsidR="00CE4724" w:rsidRDefault="00CE4724" w:rsidP="00CE4724">
      <w:pPr>
        <w:ind w:left="360"/>
        <w:jc w:val="both"/>
        <w:rPr>
          <w:rFonts w:ascii="Verdana" w:hAnsi="Verdana" w:cs="Calibri"/>
          <w:lang w:eastAsia="en-US"/>
        </w:rPr>
      </w:pPr>
    </w:p>
    <w:p w:rsidR="00CE4724" w:rsidRDefault="00CE4724" w:rsidP="00CE4724">
      <w:pPr>
        <w:numPr>
          <w:ilvl w:val="0"/>
          <w:numId w:val="8"/>
        </w:numPr>
        <w:kinsoku w:val="0"/>
        <w:topLinePunct/>
        <w:autoSpaceDE w:val="0"/>
        <w:autoSpaceDN w:val="0"/>
        <w:contextualSpacing/>
        <w:jc w:val="both"/>
        <w:rPr>
          <w:rFonts w:ascii="Verdana" w:eastAsia="Calibri" w:hAnsi="Verdana" w:cs="Calibri"/>
          <w:lang w:eastAsia="en-US"/>
        </w:rPr>
      </w:pPr>
      <w:r>
        <w:rPr>
          <w:rFonts w:ascii="Verdana" w:eastAsia="Calibri" w:hAnsi="Verdana" w:cs="Calibri"/>
          <w:lang w:eastAsia="en-US"/>
        </w:rPr>
        <w:t xml:space="preserve">Udostępniony przedmiar robót przewiduje jedynie częściową wymianę istniejącej membrany paroprzepuszczalnej jak i termoizolacji. Prosimy o potwierdzenie, że w przypadku odkrycia w trakcie remontu konieczności dodatkowej wymiany </w:t>
      </w:r>
      <w:proofErr w:type="spellStart"/>
      <w:r>
        <w:rPr>
          <w:rFonts w:ascii="Verdana" w:eastAsia="Calibri" w:hAnsi="Verdana" w:cs="Calibri"/>
          <w:lang w:eastAsia="en-US"/>
        </w:rPr>
        <w:t>paroizolacji</w:t>
      </w:r>
      <w:proofErr w:type="spellEnd"/>
      <w:r>
        <w:rPr>
          <w:rFonts w:ascii="Verdana" w:eastAsia="Calibri" w:hAnsi="Verdana" w:cs="Calibri"/>
          <w:lang w:eastAsia="en-US"/>
        </w:rPr>
        <w:t xml:space="preserve"> i termoizolacji roboty te zostaną rozliczone w ramach robót dodatkowych.</w:t>
      </w:r>
    </w:p>
    <w:p w:rsidR="00CE4724" w:rsidRDefault="00CE4724" w:rsidP="00CE4724">
      <w:pPr>
        <w:ind w:left="284"/>
        <w:contextualSpacing/>
        <w:jc w:val="both"/>
        <w:rPr>
          <w:rFonts w:ascii="Verdana" w:eastAsia="Calibri" w:hAnsi="Verdana" w:cs="Calibri"/>
          <w:b/>
          <w:lang w:eastAsia="en-US"/>
        </w:rPr>
      </w:pPr>
    </w:p>
    <w:p w:rsidR="00CE4724" w:rsidRDefault="00CE4724" w:rsidP="00CE4724">
      <w:pPr>
        <w:ind w:left="284"/>
        <w:contextualSpacing/>
        <w:jc w:val="both"/>
        <w:rPr>
          <w:rFonts w:ascii="Verdana" w:eastAsia="Calibri" w:hAnsi="Verdana" w:cs="Calibri"/>
          <w:b/>
          <w:lang w:eastAsia="en-US"/>
        </w:rPr>
      </w:pPr>
      <w:r>
        <w:rPr>
          <w:rFonts w:ascii="Verdana" w:eastAsia="Calibri" w:hAnsi="Verdana" w:cs="Calibri"/>
          <w:b/>
          <w:lang w:eastAsia="en-US"/>
        </w:rPr>
        <w:t>Odp.: Zakres wymiany izolacji paroprzepuszczalnej i termoizolacji z wełny został przyjęty dla miejsc gdzie mogły pojawić się zniszczenia w/w elementów. W przypadku konieczności wykonania robót  w większym zakresie, decyzja w sprawie ewentualnego rozszerzenia zakresu robot będzie należała do Zamawiającego.</w:t>
      </w:r>
      <w:r>
        <w:rPr>
          <w:rFonts w:ascii="Verdana" w:eastAsia="Calibri" w:hAnsi="Verdana" w:cs="Calibri"/>
          <w:lang w:eastAsia="en-US"/>
        </w:rPr>
        <w:t xml:space="preserve"> </w:t>
      </w:r>
      <w:r>
        <w:rPr>
          <w:rFonts w:ascii="Verdana" w:eastAsia="Calibri" w:hAnsi="Verdana" w:cs="Calibri"/>
          <w:b/>
          <w:lang w:eastAsia="en-US"/>
        </w:rPr>
        <w:t>Przesłanki uzasadniające zmianę umowy ujęte są w § 17 wzoru umowy stanowiącego załącznik nr 4 do SWZ, przy czym stwierdzenie, że w danych okolicznościach zmiana taka jest uzasadniona wymagać będzie indywidualnej oceny konkretnego przypadku.</w:t>
      </w:r>
    </w:p>
    <w:p w:rsidR="00CE4724" w:rsidRDefault="00CE4724" w:rsidP="00CE4724">
      <w:pPr>
        <w:ind w:left="284"/>
        <w:jc w:val="both"/>
        <w:rPr>
          <w:rFonts w:ascii="Verdana" w:eastAsia="Calibri" w:hAnsi="Verdana" w:cs="Calibri"/>
          <w:b/>
          <w:lang w:eastAsia="en-US"/>
        </w:rPr>
      </w:pPr>
    </w:p>
    <w:p w:rsidR="00CE4724" w:rsidRDefault="00CE4724" w:rsidP="00CE4724">
      <w:pPr>
        <w:kinsoku w:val="0"/>
        <w:topLinePunct/>
        <w:autoSpaceDE w:val="0"/>
        <w:autoSpaceDN w:val="0"/>
        <w:ind w:left="360"/>
        <w:contextualSpacing/>
        <w:jc w:val="both"/>
        <w:rPr>
          <w:rFonts w:ascii="Verdana" w:eastAsia="Calibri" w:hAnsi="Verdana" w:cs="Calibri"/>
          <w:lang w:eastAsia="en-US"/>
        </w:rPr>
      </w:pPr>
    </w:p>
    <w:p w:rsidR="00CE4724" w:rsidRDefault="00CE4724" w:rsidP="00CE4724">
      <w:pPr>
        <w:numPr>
          <w:ilvl w:val="0"/>
          <w:numId w:val="8"/>
        </w:numPr>
        <w:kinsoku w:val="0"/>
        <w:topLinePunct/>
        <w:autoSpaceDE w:val="0"/>
        <w:autoSpaceDN w:val="0"/>
        <w:contextualSpacing/>
        <w:jc w:val="both"/>
        <w:rPr>
          <w:rFonts w:ascii="Verdana" w:eastAsia="Calibri" w:hAnsi="Verdana" w:cs="Calibri"/>
          <w:lang w:eastAsia="en-US"/>
        </w:rPr>
      </w:pPr>
      <w:r>
        <w:rPr>
          <w:rFonts w:ascii="Verdana" w:eastAsia="Calibri" w:hAnsi="Verdana" w:cs="Calibri"/>
          <w:lang w:eastAsia="en-US"/>
        </w:rPr>
        <w:t xml:space="preserve">W przedmiarze brakuje pozycji kosztorysowych na </w:t>
      </w:r>
      <w:bookmarkStart w:id="1" w:name="_Hlk141261131"/>
      <w:r>
        <w:rPr>
          <w:rFonts w:ascii="Verdana" w:eastAsia="Calibri" w:hAnsi="Verdana" w:cs="Calibri"/>
          <w:lang w:eastAsia="en-US"/>
        </w:rPr>
        <w:t>wymianę deskowania oraz oblachowania powierzchni obróbek wiatrowych i podbitki na okapach ścian szczytowych</w:t>
      </w:r>
      <w:bookmarkEnd w:id="1"/>
      <w:r>
        <w:rPr>
          <w:rFonts w:ascii="Verdana" w:eastAsia="Calibri" w:hAnsi="Verdana" w:cs="Calibri"/>
          <w:lang w:eastAsia="en-US"/>
        </w:rPr>
        <w:t>. Prosimy o informację czy te elementy należy ująć w wycenie.</w:t>
      </w:r>
    </w:p>
    <w:p w:rsidR="00CE4724" w:rsidRDefault="00CE4724" w:rsidP="00CE4724">
      <w:pPr>
        <w:ind w:left="360"/>
        <w:jc w:val="both"/>
        <w:rPr>
          <w:rFonts w:ascii="Verdana" w:eastAsia="Calibri" w:hAnsi="Verdana" w:cs="Calibri"/>
          <w:b/>
          <w:lang w:eastAsia="en-US"/>
        </w:rPr>
      </w:pPr>
    </w:p>
    <w:p w:rsidR="00CE4724" w:rsidRDefault="00CE4724" w:rsidP="00CE4724">
      <w:pPr>
        <w:kinsoku w:val="0"/>
        <w:topLinePunct/>
        <w:autoSpaceDE w:val="0"/>
        <w:autoSpaceDN w:val="0"/>
        <w:ind w:left="360"/>
        <w:contextualSpacing/>
        <w:jc w:val="both"/>
        <w:rPr>
          <w:rFonts w:ascii="Verdana" w:eastAsia="Calibri" w:hAnsi="Verdana" w:cs="Calibri"/>
          <w:b/>
          <w:lang w:eastAsia="en-US"/>
        </w:rPr>
      </w:pPr>
      <w:r>
        <w:rPr>
          <w:rFonts w:ascii="Verdana" w:eastAsia="Calibri" w:hAnsi="Verdana" w:cs="Calibri"/>
          <w:b/>
          <w:lang w:eastAsia="en-US"/>
        </w:rPr>
        <w:t>Odp.: Zamawiający informuje, że należy ująć wymianę deskowania oraz oblachowania powierzchni obróbek wiatrowych i podbitki na okapach ścian szczytowych. Przedmiotowe prace zostały ujęte w przedmiarach - pozycje 1.2.12 oraz 3.2.12. Remontowi podlega całość pokrycia i obróbek – wszystkich elementów z blachy. Jednocześnie Zamawiający informuje, że przedmiary robót są materiałem pomocniczym dołączonym do SWZ celem ułatwienia Wykonawcy obliczenia ceny oferty. Podane w przedmiarach podstawy wyceny i ilości należy traktować jako orientacyjne.</w:t>
      </w:r>
    </w:p>
    <w:p w:rsidR="00CE4724" w:rsidRDefault="00CE4724" w:rsidP="00CE4724">
      <w:pPr>
        <w:kinsoku w:val="0"/>
        <w:topLinePunct/>
        <w:autoSpaceDE w:val="0"/>
        <w:autoSpaceDN w:val="0"/>
        <w:ind w:left="360"/>
        <w:contextualSpacing/>
        <w:jc w:val="both"/>
        <w:rPr>
          <w:rFonts w:ascii="Verdana" w:eastAsia="Calibri" w:hAnsi="Verdana" w:cs="Calibri"/>
          <w:lang w:eastAsia="en-US"/>
        </w:rPr>
      </w:pPr>
    </w:p>
    <w:p w:rsidR="00CE4724" w:rsidRDefault="00CE4724" w:rsidP="00CE4724">
      <w:pPr>
        <w:numPr>
          <w:ilvl w:val="0"/>
          <w:numId w:val="8"/>
        </w:numPr>
        <w:kinsoku w:val="0"/>
        <w:topLinePunct/>
        <w:autoSpaceDE w:val="0"/>
        <w:autoSpaceDN w:val="0"/>
        <w:contextualSpacing/>
        <w:jc w:val="both"/>
        <w:rPr>
          <w:rFonts w:ascii="Verdana" w:eastAsia="Calibri" w:hAnsi="Verdana" w:cs="Calibri"/>
          <w:lang w:eastAsia="en-US"/>
        </w:rPr>
      </w:pPr>
      <w:r>
        <w:rPr>
          <w:rFonts w:ascii="Verdana" w:eastAsia="Calibri" w:hAnsi="Verdana" w:cs="Calibri"/>
          <w:lang w:eastAsia="en-US"/>
        </w:rPr>
        <w:t xml:space="preserve">Projekt zakłada wymianę deskowania na płytę OSB </w:t>
      </w:r>
      <w:proofErr w:type="spellStart"/>
      <w:r>
        <w:rPr>
          <w:rFonts w:ascii="Verdana" w:eastAsia="Calibri" w:hAnsi="Verdana" w:cs="Calibri"/>
          <w:lang w:eastAsia="en-US"/>
        </w:rPr>
        <w:t>ogniodporną</w:t>
      </w:r>
      <w:proofErr w:type="spellEnd"/>
      <w:r>
        <w:rPr>
          <w:rFonts w:ascii="Verdana" w:eastAsia="Calibri" w:hAnsi="Verdana" w:cs="Calibri"/>
          <w:lang w:eastAsia="en-US"/>
        </w:rPr>
        <w:t xml:space="preserve"> </w:t>
      </w:r>
      <w:proofErr w:type="spellStart"/>
      <w:r>
        <w:rPr>
          <w:rFonts w:ascii="Verdana" w:eastAsia="Calibri" w:hAnsi="Verdana" w:cs="Calibri"/>
          <w:lang w:eastAsia="en-US"/>
        </w:rPr>
        <w:t>StopFire</w:t>
      </w:r>
      <w:proofErr w:type="spellEnd"/>
      <w:r>
        <w:rPr>
          <w:rFonts w:ascii="Verdana" w:eastAsia="Calibri" w:hAnsi="Verdana" w:cs="Calibri"/>
          <w:lang w:eastAsia="en-US"/>
        </w:rPr>
        <w:t xml:space="preserve"> SF-B, B-s2, d0. Prosimy o możliwość zmiany na deskę impregnowaną zabezpieczoną do stopnia niepalności B-s1, d0 z zachowaniem szczelin 3-5mm pomiędzy deskami. Jest to rozwiązanie zgodne ze sztuką dekarską, tańsze a zarazem korzystniejsze ze względu na umożliwienie cyrkulacji powietrza pod blachą.</w:t>
      </w:r>
    </w:p>
    <w:p w:rsidR="00CE4724" w:rsidRDefault="00CE4724" w:rsidP="00CE4724">
      <w:pPr>
        <w:ind w:left="284"/>
        <w:contextualSpacing/>
        <w:jc w:val="both"/>
        <w:rPr>
          <w:rFonts w:ascii="Verdana" w:eastAsia="Calibri" w:hAnsi="Verdana" w:cs="Calibri"/>
          <w:b/>
          <w:lang w:eastAsia="en-US"/>
        </w:rPr>
      </w:pPr>
    </w:p>
    <w:p w:rsidR="00CE4724" w:rsidRPr="00CE4724" w:rsidRDefault="00CE4724" w:rsidP="00CE4724">
      <w:pPr>
        <w:ind w:left="284"/>
        <w:contextualSpacing/>
        <w:jc w:val="both"/>
        <w:rPr>
          <w:rFonts w:ascii="Verdana" w:eastAsia="Calibri" w:hAnsi="Verdana" w:cs="Calibri"/>
          <w:b/>
          <w:lang w:eastAsia="en-US"/>
        </w:rPr>
      </w:pPr>
      <w:r>
        <w:rPr>
          <w:rFonts w:ascii="Verdana" w:eastAsia="Calibri" w:hAnsi="Verdana" w:cs="Calibri"/>
          <w:b/>
          <w:lang w:eastAsia="en-US"/>
        </w:rPr>
        <w:lastRenderedPageBreak/>
        <w:t xml:space="preserve">Odp.: Zamawiający dopuszcza rozwiązania równoważne pod warunkiem, że deski będą zabezpieczone do klasy NRO zgodnie z § 216 i § 219 WT, ponieważ  pokrycie dachu w w/w obiekcie powinno być NRO. Deski powinny spełniać wymagania elementów budynku zgodnie z zał. nr 3 WT  podane w pytaniu B-s1, d0 to określenie niezapalności (a nie niepalności), materiał z taką klasą reakcji na ogień spełnia wymagania NRO. Rozwiązanie zaproponowane musi być  zgodne z wymogami udzielenia gwarancji przez producenta pokrycia z blachy i przez niego dopuszczalne. Klasa konstrukcyjna drewna  dla takiego rozwiązania to C24mm. Ocena równoważności odbywać się będzie na etapie zatwierdzenia materiałów. Klasa NRO  proponowanych desek  winna być potwierdzona deklaracja </w:t>
      </w:r>
      <w:r w:rsidRPr="00CE4724">
        <w:rPr>
          <w:rFonts w:ascii="Verdana" w:eastAsia="Calibri" w:hAnsi="Verdana" w:cs="Calibri"/>
          <w:b/>
          <w:lang w:eastAsia="en-US"/>
        </w:rPr>
        <w:t>producenta desek.</w:t>
      </w:r>
    </w:p>
    <w:p w:rsidR="00CE4724" w:rsidRPr="00CE4724" w:rsidRDefault="00CE4724" w:rsidP="00CE4724">
      <w:pPr>
        <w:ind w:left="284"/>
        <w:contextualSpacing/>
        <w:jc w:val="both"/>
        <w:rPr>
          <w:rFonts w:ascii="Verdana" w:eastAsia="Calibri" w:hAnsi="Verdana" w:cs="Calibri"/>
          <w:b/>
          <w:lang w:eastAsia="en-US"/>
        </w:rPr>
      </w:pPr>
      <w:r w:rsidRPr="00CE4724">
        <w:rPr>
          <w:rFonts w:ascii="Verdana" w:eastAsia="Calibri" w:hAnsi="Verdana" w:cs="Calibri"/>
          <w:b/>
          <w:lang w:eastAsia="en-US"/>
        </w:rPr>
        <w:t>Jednocześnie Zamawiający informuje, że wymiana deskowania przewidziana jest tylko w środkowej części dachu (dach pulpitowy). W związku z powyższym Zamawiający zamieszcza zaktualizowane przedmiary robót pod linkiem:</w:t>
      </w:r>
    </w:p>
    <w:p w:rsidR="00CE4724" w:rsidRDefault="00CE4724" w:rsidP="00CE4724">
      <w:pPr>
        <w:ind w:left="284"/>
        <w:contextualSpacing/>
        <w:jc w:val="both"/>
        <w:rPr>
          <w:rFonts w:ascii="Verdana" w:eastAsia="Calibri" w:hAnsi="Verdana" w:cs="Calibri"/>
          <w:b/>
          <w:lang w:eastAsia="en-US"/>
        </w:rPr>
      </w:pPr>
      <w:hyperlink r:id="rId10" w:history="1">
        <w:r>
          <w:rPr>
            <w:rStyle w:val="Hipercze"/>
            <w:rFonts w:ascii="Verdana" w:eastAsia="Calibri" w:hAnsi="Verdana" w:cs="Calibri"/>
            <w:b/>
            <w:lang w:eastAsia="en-US"/>
          </w:rPr>
          <w:t>http://di.adm.agh.edu.pl/przetargi/di/kn/U-11_dach_fotowoltaika_aktualizacja/</w:t>
        </w:r>
      </w:hyperlink>
    </w:p>
    <w:p w:rsidR="00CE4724" w:rsidRDefault="00CE4724" w:rsidP="00CE4724">
      <w:pPr>
        <w:kinsoku w:val="0"/>
        <w:topLinePunct/>
        <w:autoSpaceDE w:val="0"/>
        <w:autoSpaceDN w:val="0"/>
        <w:ind w:left="360"/>
        <w:contextualSpacing/>
        <w:jc w:val="both"/>
        <w:rPr>
          <w:rFonts w:ascii="Verdana" w:eastAsia="Calibri" w:hAnsi="Verdana" w:cs="Calibri"/>
          <w:lang w:eastAsia="en-US"/>
        </w:rPr>
      </w:pPr>
    </w:p>
    <w:p w:rsidR="00CE4724" w:rsidRDefault="00CE4724" w:rsidP="00CE4724">
      <w:pPr>
        <w:numPr>
          <w:ilvl w:val="0"/>
          <w:numId w:val="8"/>
        </w:numPr>
        <w:kinsoku w:val="0"/>
        <w:topLinePunct/>
        <w:autoSpaceDE w:val="0"/>
        <w:autoSpaceDN w:val="0"/>
        <w:contextualSpacing/>
        <w:jc w:val="both"/>
        <w:rPr>
          <w:rFonts w:ascii="Verdana" w:eastAsia="Calibri" w:hAnsi="Verdana" w:cs="Calibri"/>
          <w:lang w:eastAsia="en-US"/>
        </w:rPr>
      </w:pPr>
      <w:r>
        <w:rPr>
          <w:rFonts w:ascii="Verdana" w:eastAsia="Calibri" w:hAnsi="Verdana" w:cs="Calibri"/>
          <w:lang w:eastAsia="en-US"/>
        </w:rPr>
        <w:t xml:space="preserve">W przedmiarze Inwestorskim ujęto wymianę 40% konstrukcji drewnianej pod </w:t>
      </w:r>
      <w:proofErr w:type="spellStart"/>
      <w:r>
        <w:rPr>
          <w:rFonts w:ascii="Verdana" w:eastAsia="Calibri" w:hAnsi="Verdana" w:cs="Calibri"/>
          <w:lang w:eastAsia="en-US"/>
        </w:rPr>
        <w:t>wyoblenia</w:t>
      </w:r>
      <w:proofErr w:type="spellEnd"/>
      <w:r>
        <w:rPr>
          <w:rFonts w:ascii="Verdana" w:eastAsia="Calibri" w:hAnsi="Verdana" w:cs="Calibri"/>
          <w:lang w:eastAsia="en-US"/>
        </w:rPr>
        <w:t xml:space="preserve"> koryt. Cała istniejąca połać </w:t>
      </w:r>
      <w:proofErr w:type="spellStart"/>
      <w:r>
        <w:rPr>
          <w:rFonts w:ascii="Verdana" w:eastAsia="Calibri" w:hAnsi="Verdana" w:cs="Calibri"/>
          <w:lang w:eastAsia="en-US"/>
        </w:rPr>
        <w:t>wyobleń</w:t>
      </w:r>
      <w:proofErr w:type="spellEnd"/>
      <w:r>
        <w:rPr>
          <w:rFonts w:ascii="Verdana" w:eastAsia="Calibri" w:hAnsi="Verdana" w:cs="Calibri"/>
          <w:lang w:eastAsia="en-US"/>
        </w:rPr>
        <w:t xml:space="preserve"> jest natomiast nierówna. W związku z tym prosimy o informację czy należy ująć wyrównanie pozostałej powierzchni pod konstrukcję </w:t>
      </w:r>
      <w:proofErr w:type="spellStart"/>
      <w:r>
        <w:rPr>
          <w:rFonts w:ascii="Verdana" w:eastAsia="Calibri" w:hAnsi="Verdana" w:cs="Calibri"/>
          <w:lang w:eastAsia="en-US"/>
        </w:rPr>
        <w:t>wyobleń</w:t>
      </w:r>
      <w:proofErr w:type="spellEnd"/>
      <w:r>
        <w:rPr>
          <w:rFonts w:ascii="Verdana" w:eastAsia="Calibri" w:hAnsi="Verdana" w:cs="Calibri"/>
          <w:lang w:eastAsia="en-US"/>
        </w:rPr>
        <w:t xml:space="preserve"> poprzez nadbijanie dodatkowych łat drewnianych.</w:t>
      </w:r>
    </w:p>
    <w:p w:rsidR="00CE4724" w:rsidRDefault="00CE4724" w:rsidP="00CE4724">
      <w:pPr>
        <w:ind w:left="360"/>
        <w:jc w:val="both"/>
        <w:rPr>
          <w:rFonts w:ascii="Verdana" w:eastAsia="Calibri" w:hAnsi="Verdana" w:cs="Calibri"/>
          <w:b/>
          <w:lang w:eastAsia="en-US"/>
        </w:rPr>
      </w:pPr>
    </w:p>
    <w:p w:rsidR="00CE4724" w:rsidRDefault="00CE4724" w:rsidP="00CE4724">
      <w:pPr>
        <w:ind w:left="360"/>
        <w:jc w:val="both"/>
        <w:rPr>
          <w:rFonts w:ascii="Verdana" w:eastAsia="Calibri" w:hAnsi="Verdana" w:cs="Calibri"/>
          <w:b/>
          <w:lang w:eastAsia="en-US"/>
        </w:rPr>
      </w:pPr>
      <w:r>
        <w:rPr>
          <w:rFonts w:ascii="Verdana" w:eastAsia="Calibri" w:hAnsi="Verdana" w:cs="Calibri"/>
          <w:b/>
          <w:lang w:eastAsia="en-US"/>
        </w:rPr>
        <w:t xml:space="preserve">Odp.: Należy przyjąć wykonanie odpowiednio ukształtowanego deskowania na </w:t>
      </w:r>
      <w:proofErr w:type="spellStart"/>
      <w:r>
        <w:rPr>
          <w:rFonts w:ascii="Verdana" w:eastAsia="Calibri" w:hAnsi="Verdana" w:cs="Calibri"/>
          <w:b/>
          <w:lang w:eastAsia="en-US"/>
        </w:rPr>
        <w:t>wyobleniach</w:t>
      </w:r>
      <w:proofErr w:type="spellEnd"/>
      <w:r>
        <w:rPr>
          <w:rFonts w:ascii="Verdana" w:eastAsia="Calibri" w:hAnsi="Verdana" w:cs="Calibri"/>
          <w:b/>
          <w:lang w:eastAsia="en-US"/>
        </w:rPr>
        <w:t xml:space="preserve"> tj. m.in. do istniejącej konstrukcji wykonać ew. konieczne nabicia desek. Zostało to ujęte w zakresie wymiany konstrukcji </w:t>
      </w:r>
      <w:proofErr w:type="spellStart"/>
      <w:r>
        <w:rPr>
          <w:rFonts w:ascii="Verdana" w:eastAsia="Calibri" w:hAnsi="Verdana" w:cs="Calibri"/>
          <w:b/>
          <w:lang w:eastAsia="en-US"/>
        </w:rPr>
        <w:t>wyobleń</w:t>
      </w:r>
      <w:proofErr w:type="spellEnd"/>
      <w:r>
        <w:rPr>
          <w:rFonts w:ascii="Verdana" w:eastAsia="Calibri" w:hAnsi="Verdana" w:cs="Calibri"/>
          <w:b/>
          <w:lang w:eastAsia="en-US"/>
        </w:rPr>
        <w:t xml:space="preserve">  w ilości  40% całości i uwzględnia dobitki oraz ewentualną wymianę możliwych zniszczonych elementów głównych konstrukcji </w:t>
      </w:r>
      <w:proofErr w:type="spellStart"/>
      <w:r>
        <w:rPr>
          <w:rFonts w:ascii="Verdana" w:eastAsia="Calibri" w:hAnsi="Verdana" w:cs="Calibri"/>
          <w:b/>
          <w:lang w:eastAsia="en-US"/>
        </w:rPr>
        <w:t>wyoblenia</w:t>
      </w:r>
      <w:proofErr w:type="spellEnd"/>
      <w:r>
        <w:rPr>
          <w:rFonts w:ascii="Verdana" w:eastAsia="Calibri" w:hAnsi="Verdana" w:cs="Calibri"/>
          <w:b/>
          <w:lang w:eastAsia="en-US"/>
        </w:rPr>
        <w:t>. W przypadku konieczności wykonania większej ilości elementów, po odkrywkach na budowie decyzja ewentualnego rozszerzenia będzie należała do Zamawiającego.</w:t>
      </w:r>
    </w:p>
    <w:p w:rsidR="00CE4724" w:rsidRDefault="00CE4724" w:rsidP="00CE4724">
      <w:pPr>
        <w:kinsoku w:val="0"/>
        <w:topLinePunct/>
        <w:autoSpaceDE w:val="0"/>
        <w:autoSpaceDN w:val="0"/>
        <w:ind w:left="360"/>
        <w:contextualSpacing/>
        <w:jc w:val="both"/>
        <w:rPr>
          <w:rFonts w:ascii="Verdana" w:eastAsia="Calibri" w:hAnsi="Verdana" w:cs="Calibri"/>
          <w:lang w:eastAsia="en-US"/>
        </w:rPr>
      </w:pPr>
    </w:p>
    <w:p w:rsidR="00CE4724" w:rsidRDefault="00CE4724" w:rsidP="00CE4724">
      <w:pPr>
        <w:numPr>
          <w:ilvl w:val="0"/>
          <w:numId w:val="8"/>
        </w:numPr>
        <w:kinsoku w:val="0"/>
        <w:topLinePunct/>
        <w:autoSpaceDE w:val="0"/>
        <w:autoSpaceDN w:val="0"/>
        <w:contextualSpacing/>
        <w:jc w:val="both"/>
        <w:rPr>
          <w:rFonts w:ascii="Verdana" w:eastAsia="Calibri" w:hAnsi="Verdana" w:cs="Calibri"/>
          <w:lang w:eastAsia="en-US"/>
        </w:rPr>
      </w:pPr>
      <w:r>
        <w:rPr>
          <w:rFonts w:ascii="Verdana" w:eastAsia="Calibri" w:hAnsi="Verdana" w:cs="Calibri"/>
          <w:lang w:eastAsia="en-US"/>
        </w:rPr>
        <w:t>Z uwagi na dużo większą trwałość i odporność na pęknięcia dzięki elastyczności materiału, prosimy o dopuszczenie wykonanie koryt dachowych oraz obróbek świetlików dachowych „Bulaj” z membrany dachowej.</w:t>
      </w:r>
    </w:p>
    <w:p w:rsidR="00CE4724" w:rsidRDefault="00CE4724" w:rsidP="00CE4724">
      <w:pPr>
        <w:ind w:left="426"/>
        <w:contextualSpacing/>
        <w:jc w:val="both"/>
        <w:rPr>
          <w:rFonts w:ascii="Verdana" w:eastAsia="Calibri" w:hAnsi="Verdana" w:cs="Calibri"/>
          <w:b/>
          <w:lang w:eastAsia="en-US"/>
        </w:rPr>
      </w:pPr>
    </w:p>
    <w:p w:rsidR="00CE4724" w:rsidRDefault="00CE4724" w:rsidP="00CE4724">
      <w:pPr>
        <w:ind w:left="426"/>
        <w:jc w:val="both"/>
        <w:rPr>
          <w:rFonts w:ascii="Verdana" w:eastAsia="Calibri" w:hAnsi="Verdana" w:cs="Calibri"/>
          <w:b/>
          <w:lang w:eastAsia="en-US"/>
        </w:rPr>
      </w:pPr>
      <w:r>
        <w:rPr>
          <w:rFonts w:ascii="Verdana" w:eastAsia="Calibri" w:hAnsi="Verdana" w:cs="Calibri"/>
          <w:b/>
          <w:lang w:eastAsia="en-US"/>
        </w:rPr>
        <w:t xml:space="preserve">Odp.: Zamawiający informuje, że ze względu na konieczność </w:t>
      </w:r>
      <w:proofErr w:type="spellStart"/>
      <w:r>
        <w:rPr>
          <w:rFonts w:ascii="Verdana" w:eastAsia="Calibri" w:hAnsi="Verdana" w:cs="Calibri"/>
          <w:b/>
          <w:lang w:eastAsia="en-US"/>
        </w:rPr>
        <w:t>zgrzewań</w:t>
      </w:r>
      <w:proofErr w:type="spellEnd"/>
      <w:r>
        <w:rPr>
          <w:rFonts w:ascii="Verdana" w:eastAsia="Calibri" w:hAnsi="Verdana" w:cs="Calibri"/>
          <w:b/>
          <w:lang w:eastAsia="en-US"/>
        </w:rPr>
        <w:t xml:space="preserve"> elementów do blachy, konieczności wykonania precyzyjnych łączeń obu materiałów oraz stosowania dodatkowych kitów i uszczelniaczy nie dopuszcza zamiany blachy tytan</w:t>
      </w:r>
      <w:r>
        <w:rPr>
          <w:rFonts w:ascii="Verdana" w:eastAsia="Calibri" w:hAnsi="Verdana" w:cs="Calibri"/>
          <w:b/>
          <w:lang w:eastAsia="en-US"/>
        </w:rPr>
        <w:noBreakHyphen/>
        <w:t xml:space="preserve">cynk na membranę dla koryt i obróbek oraz nie wyraża  zgody na łączenia materiałów typu membrana EPDM oraz blachy. Ze względu na różne właściwości materiałów mogą wystąpić również wybarwienia na pokryciu z blachy związane z oddziaływaniem aldehydów ze skroplinami.  </w:t>
      </w:r>
    </w:p>
    <w:p w:rsidR="00CE4724" w:rsidRDefault="00CE4724" w:rsidP="00CE4724">
      <w:pPr>
        <w:pStyle w:val="NormalnyWeb"/>
        <w:jc w:val="both"/>
        <w:rPr>
          <w:rFonts w:ascii="Verdana" w:hAnsi="Verdana"/>
          <w:b/>
          <w:i/>
          <w:strike/>
          <w:sz w:val="20"/>
          <w:szCs w:val="20"/>
        </w:rPr>
      </w:pPr>
    </w:p>
    <w:p w:rsidR="00CE4724" w:rsidRDefault="00CE4724" w:rsidP="00CE4724">
      <w:pPr>
        <w:ind w:left="360"/>
        <w:jc w:val="both"/>
        <w:rPr>
          <w:rFonts w:ascii="Verdana" w:eastAsia="Calibri" w:hAnsi="Verdana" w:cs="Calibri"/>
          <w:b/>
          <w:lang w:eastAsia="en-US"/>
        </w:rPr>
      </w:pPr>
    </w:p>
    <w:p w:rsidR="00CE4724" w:rsidRDefault="00CE4724" w:rsidP="00CE4724">
      <w:pPr>
        <w:pStyle w:val="NormalnyWeb"/>
        <w:jc w:val="both"/>
        <w:rPr>
          <w:rFonts w:ascii="Verdana" w:hAnsi="Verdana"/>
          <w:b/>
          <w:i/>
          <w:strike/>
          <w:sz w:val="20"/>
          <w:szCs w:val="20"/>
        </w:rPr>
      </w:pPr>
    </w:p>
    <w:p w:rsidR="00BE7BFD" w:rsidRPr="006A5DF1" w:rsidRDefault="00BE7BFD" w:rsidP="00CE4724">
      <w:pPr>
        <w:ind w:left="360"/>
        <w:jc w:val="both"/>
        <w:rPr>
          <w:sz w:val="22"/>
          <w:szCs w:val="22"/>
        </w:rPr>
      </w:pPr>
    </w:p>
    <w:sectPr w:rsidR="00BE7BFD" w:rsidRPr="006A5DF1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2DF9" w:rsidRDefault="00502DF9">
      <w:r>
        <w:separator/>
      </w:r>
    </w:p>
  </w:endnote>
  <w:endnote w:type="continuationSeparator" w:id="0">
    <w:p w:rsidR="00502DF9" w:rsidRDefault="00502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E472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2DF9" w:rsidRDefault="00502DF9">
      <w:r>
        <w:separator/>
      </w:r>
    </w:p>
  </w:footnote>
  <w:footnote w:type="continuationSeparator" w:id="0">
    <w:p w:rsidR="00502DF9" w:rsidRDefault="00502D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A6F" w:rsidRDefault="00592A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A6F" w:rsidRDefault="00592A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A6F" w:rsidRDefault="00592A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6795033"/>
    <w:multiLevelType w:val="hybridMultilevel"/>
    <w:tmpl w:val="42004A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2DF9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02DF9"/>
    <w:rsid w:val="005115E2"/>
    <w:rsid w:val="005144A9"/>
    <w:rsid w:val="00520165"/>
    <w:rsid w:val="00592A6F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E4724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1B835C"/>
  <w15:chartTrackingRefBased/>
  <w15:docId w15:val="{C1066595-3FD5-485D-A2EB-AD5B66761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CE4724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E4724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Pogrubienie">
    <w:name w:val="Strong"/>
    <w:uiPriority w:val="22"/>
    <w:qFormat/>
    <w:rsid w:val="00CE47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7.png@01D9A2D1.31786A60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di.adm.agh.edu.pl/przetargi/di/kn/U-11_dach_fotowoltaika_aktualizacj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i.adm.agh.edu.pl/przetargi/di/kn/U-11_dach_fotowoltaika_aktualizacja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1273</Words>
  <Characters>8876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4</cp:revision>
  <cp:lastPrinted>2001-02-10T14:28:00Z</cp:lastPrinted>
  <dcterms:created xsi:type="dcterms:W3CDTF">2023-07-26T09:23:00Z</dcterms:created>
  <dcterms:modified xsi:type="dcterms:W3CDTF">2023-07-27T09:01:00Z</dcterms:modified>
</cp:coreProperties>
</file>