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653" w:rsidRPr="00867653" w:rsidRDefault="00867653" w:rsidP="00867653">
      <w:pPr>
        <w:spacing w:after="240"/>
        <w:jc w:val="right"/>
        <w:rPr>
          <w:rFonts w:ascii="Verdana" w:hAnsi="Verdana"/>
          <w:sz w:val="16"/>
          <w:szCs w:val="16"/>
        </w:rPr>
      </w:pPr>
      <w:r w:rsidRPr="00867653">
        <w:rPr>
          <w:rFonts w:ascii="Verdana" w:hAnsi="Verdana"/>
          <w:sz w:val="16"/>
          <w:szCs w:val="16"/>
        </w:rPr>
        <w:t>Kraków dnia: 2024-02-20</w:t>
      </w:r>
    </w:p>
    <w:p w:rsidR="00867653" w:rsidRPr="00867653" w:rsidRDefault="00867653" w:rsidP="00867653">
      <w:pPr>
        <w:pStyle w:val="Nagwek"/>
        <w:tabs>
          <w:tab w:val="clear" w:pos="4536"/>
          <w:tab w:val="clear" w:pos="9072"/>
        </w:tabs>
        <w:ind w:left="1134"/>
        <w:rPr>
          <w:rFonts w:ascii="Verdana" w:hAnsi="Verdana"/>
          <w:sz w:val="16"/>
          <w:szCs w:val="16"/>
        </w:rPr>
      </w:pPr>
    </w:p>
    <w:p w:rsidR="00867653" w:rsidRPr="00867653" w:rsidRDefault="00867653" w:rsidP="00867653">
      <w:pPr>
        <w:pStyle w:val="Nagwek"/>
        <w:tabs>
          <w:tab w:val="clear" w:pos="4536"/>
        </w:tabs>
        <w:ind w:left="1134"/>
        <w:rPr>
          <w:rFonts w:ascii="Verdana" w:hAnsi="Verdana"/>
        </w:rPr>
      </w:pPr>
      <w:r w:rsidRPr="00867653">
        <w:rPr>
          <w:rFonts w:ascii="Verdana" w:hAnsi="Verdana"/>
          <w:bCs/>
          <w:sz w:val="16"/>
          <w:szCs w:val="16"/>
        </w:rPr>
        <w:t>DE-dzp.272-28/24</w:t>
      </w:r>
      <w:r w:rsidRPr="00867653">
        <w:rPr>
          <w:rFonts w:ascii="Verdana" w:hAnsi="Verdana"/>
        </w:rPr>
        <w:tab/>
        <w:t xml:space="preserve"> </w:t>
      </w:r>
    </w:p>
    <w:p w:rsidR="00867653" w:rsidRPr="00867653" w:rsidRDefault="00867653" w:rsidP="00867653">
      <w:pPr>
        <w:pStyle w:val="Nagwek"/>
        <w:tabs>
          <w:tab w:val="clear" w:pos="4536"/>
          <w:tab w:val="clear" w:pos="9072"/>
        </w:tabs>
        <w:ind w:left="1134"/>
        <w:rPr>
          <w:rFonts w:ascii="Verdana" w:hAnsi="Verdana"/>
        </w:rPr>
      </w:pPr>
    </w:p>
    <w:p w:rsidR="00867653" w:rsidRPr="00867653" w:rsidRDefault="00867653" w:rsidP="00867653">
      <w:pPr>
        <w:tabs>
          <w:tab w:val="left" w:pos="708"/>
          <w:tab w:val="center" w:pos="4536"/>
          <w:tab w:val="right" w:pos="9072"/>
        </w:tabs>
        <w:spacing w:after="20"/>
        <w:ind w:left="1134" w:firstLine="3969"/>
        <w:rPr>
          <w:rFonts w:ascii="Verdana" w:hAnsi="Verdana"/>
          <w:b/>
        </w:rPr>
      </w:pPr>
      <w:r w:rsidRPr="00867653">
        <w:rPr>
          <w:rFonts w:ascii="Verdana" w:hAnsi="Verdana"/>
          <w:b/>
        </w:rPr>
        <w:t>WYKONAWCY</w:t>
      </w:r>
    </w:p>
    <w:p w:rsidR="00867653" w:rsidRPr="00867653" w:rsidRDefault="00867653" w:rsidP="00867653">
      <w:pPr>
        <w:tabs>
          <w:tab w:val="left" w:pos="708"/>
          <w:tab w:val="center" w:pos="4536"/>
          <w:tab w:val="right" w:pos="9072"/>
        </w:tabs>
        <w:spacing w:after="20"/>
        <w:ind w:left="1134" w:firstLine="3969"/>
        <w:rPr>
          <w:rFonts w:ascii="Verdana" w:hAnsi="Verdana"/>
        </w:rPr>
      </w:pPr>
      <w:r w:rsidRPr="00867653">
        <w:rPr>
          <w:rFonts w:ascii="Verdana" w:hAnsi="Verdana"/>
        </w:rPr>
        <w:t>ubiegający się o zamówienie publiczne</w:t>
      </w:r>
    </w:p>
    <w:p w:rsidR="00867653" w:rsidRPr="00867653" w:rsidRDefault="00867653" w:rsidP="00867653">
      <w:pPr>
        <w:pStyle w:val="Nagwek"/>
        <w:tabs>
          <w:tab w:val="clear" w:pos="4536"/>
          <w:tab w:val="clear" w:pos="9072"/>
        </w:tabs>
        <w:ind w:left="1134"/>
        <w:rPr>
          <w:rFonts w:ascii="Verdana" w:hAnsi="Verdana"/>
        </w:rPr>
      </w:pPr>
    </w:p>
    <w:p w:rsidR="00867653" w:rsidRPr="00867653" w:rsidRDefault="00867653" w:rsidP="00867653">
      <w:pPr>
        <w:spacing w:after="360" w:line="276" w:lineRule="auto"/>
        <w:ind w:left="1134"/>
        <w:jc w:val="center"/>
        <w:rPr>
          <w:rFonts w:ascii="Verdana" w:hAnsi="Verdana"/>
          <w:b/>
          <w:kern w:val="28"/>
        </w:rPr>
      </w:pPr>
      <w:r w:rsidRPr="00867653">
        <w:rPr>
          <w:rFonts w:ascii="Verdana" w:hAnsi="Verdana"/>
          <w:b/>
          <w:kern w:val="28"/>
        </w:rPr>
        <w:t>WYJAŚNIENIA TREŚCI SWZ  - ZMIANY (</w:t>
      </w:r>
      <w:r w:rsidRPr="00867653">
        <w:rPr>
          <w:rFonts w:ascii="Verdana" w:hAnsi="Verdana"/>
          <w:b/>
          <w:kern w:val="28"/>
        </w:rPr>
        <w:t>4-</w:t>
      </w:r>
      <w:r w:rsidRPr="00867653">
        <w:rPr>
          <w:rFonts w:ascii="Verdana" w:hAnsi="Verdana"/>
          <w:b/>
          <w:kern w:val="28"/>
        </w:rPr>
        <w:t>23)</w:t>
      </w:r>
    </w:p>
    <w:p w:rsidR="00867653" w:rsidRPr="00867653" w:rsidRDefault="00867653" w:rsidP="00867653">
      <w:pPr>
        <w:ind w:left="1134"/>
        <w:jc w:val="both"/>
        <w:rPr>
          <w:rFonts w:ascii="Verdana" w:hAnsi="Verdana"/>
          <w:b/>
        </w:rPr>
      </w:pPr>
      <w:r w:rsidRPr="00867653">
        <w:rPr>
          <w:rFonts w:ascii="Verdana" w:hAnsi="Verdana"/>
        </w:rPr>
        <w:t>Dotyczy: postępowania o udzielenie zamówienia publicznego, prowadzonego w trybie: przetarg nieograniczony</w:t>
      </w:r>
      <w:r w:rsidRPr="00867653">
        <w:rPr>
          <w:rFonts w:ascii="Verdana" w:hAnsi="Verdana"/>
          <w:b/>
        </w:rPr>
        <w:t xml:space="preserve"> </w:t>
      </w:r>
      <w:r w:rsidRPr="00867653">
        <w:rPr>
          <w:rFonts w:ascii="Verdana" w:hAnsi="Verdana"/>
          <w:bCs/>
        </w:rPr>
        <w:t>na</w:t>
      </w:r>
      <w:r w:rsidRPr="00867653">
        <w:rPr>
          <w:rFonts w:ascii="Verdana" w:hAnsi="Verdana"/>
          <w:b/>
        </w:rPr>
        <w:t xml:space="preserve"> </w:t>
      </w:r>
      <w:r w:rsidRPr="00867653">
        <w:rPr>
          <w:rFonts w:ascii="Verdana" w:hAnsi="Verdana"/>
          <w:bCs/>
        </w:rPr>
        <w:t>”</w:t>
      </w:r>
      <w:r w:rsidRPr="00867653">
        <w:rPr>
          <w:rFonts w:ascii="Verdana" w:hAnsi="Verdana"/>
          <w:b/>
          <w:bCs/>
        </w:rPr>
        <w:t>Przebudowa, nadbudowa i rozbudowa centralnej części budynku S-1 na terenie AGH w Krakowie - DE-dzp.272-28/24</w:t>
      </w:r>
      <w:r w:rsidRPr="00867653">
        <w:rPr>
          <w:rFonts w:ascii="Verdana" w:hAnsi="Verdana"/>
          <w:bCs/>
        </w:rPr>
        <w:t>”</w:t>
      </w:r>
      <w:r w:rsidRPr="00867653">
        <w:rPr>
          <w:rFonts w:ascii="Verdana" w:hAnsi="Verdana"/>
          <w:b/>
        </w:rPr>
        <w:t xml:space="preserve"> </w:t>
      </w:r>
      <w:r w:rsidRPr="00867653">
        <w:rPr>
          <w:rFonts w:ascii="Verdana" w:hAnsi="Verdana"/>
          <w:bCs/>
        </w:rPr>
        <w:t>– znak sprawy</w:t>
      </w:r>
      <w:r w:rsidRPr="00867653">
        <w:rPr>
          <w:rFonts w:ascii="Verdana" w:hAnsi="Verdana"/>
          <w:b/>
        </w:rPr>
        <w:t xml:space="preserve"> DE-dzp.272-28/24.</w:t>
      </w:r>
    </w:p>
    <w:p w:rsidR="00867653" w:rsidRPr="00867653" w:rsidRDefault="00867653" w:rsidP="00867653">
      <w:pPr>
        <w:ind w:left="1134"/>
        <w:jc w:val="both"/>
        <w:rPr>
          <w:rFonts w:ascii="Verdana" w:hAnsi="Verdana"/>
        </w:rPr>
      </w:pPr>
    </w:p>
    <w:p w:rsidR="00867653" w:rsidRPr="00867653" w:rsidRDefault="00867653" w:rsidP="00867653">
      <w:pPr>
        <w:ind w:left="1134"/>
        <w:jc w:val="both"/>
        <w:rPr>
          <w:rFonts w:ascii="Verdana" w:hAnsi="Verdana"/>
        </w:rPr>
      </w:pPr>
      <w:r w:rsidRPr="00867653">
        <w:rPr>
          <w:rFonts w:ascii="Verdana" w:hAnsi="Verdana"/>
        </w:rPr>
        <w:t xml:space="preserve">Zamawiający, </w:t>
      </w:r>
      <w:r w:rsidRPr="00867653">
        <w:rPr>
          <w:rFonts w:ascii="Verdana" w:hAnsi="Verdana"/>
          <w:b/>
          <w:bCs/>
        </w:rPr>
        <w:t xml:space="preserve">Akademia Górniczo-Hutnicza im. Stanisława Staszica w Krakowie, </w:t>
      </w:r>
      <w:r w:rsidRPr="00867653">
        <w:rPr>
          <w:rFonts w:ascii="Verdana" w:hAnsi="Verdana"/>
        </w:rPr>
        <w:t>działając na podstawie art. 135 ust. 6 ustawy z dnia 11 września 2019 r. Prawo zamówień publicznych (Dz.U. z 2023r. poz. 1605), udostępnia poniżej treść zapytań do Specyfikacji Warunków Zamówienia (zwanej dalej</w:t>
      </w:r>
      <w:r w:rsidRPr="00867653">
        <w:rPr>
          <w:rFonts w:ascii="Verdana" w:hAnsi="Verdana"/>
          <w:b/>
        </w:rPr>
        <w:t xml:space="preserve"> </w:t>
      </w:r>
      <w:r w:rsidRPr="00867653">
        <w:rPr>
          <w:rFonts w:ascii="Verdana" w:hAnsi="Verdana"/>
          <w:bCs/>
        </w:rPr>
        <w:t xml:space="preserve">”SWZ”) </w:t>
      </w:r>
      <w:r w:rsidRPr="00867653">
        <w:rPr>
          <w:rFonts w:ascii="Verdana" w:hAnsi="Verdana"/>
        </w:rPr>
        <w:t>wraz z wyjaśnieniami:</w:t>
      </w:r>
    </w:p>
    <w:p w:rsidR="00867653" w:rsidRPr="00867653" w:rsidRDefault="00867653" w:rsidP="00867653">
      <w:pPr>
        <w:jc w:val="both"/>
        <w:rPr>
          <w:rFonts w:ascii="Verdana" w:hAnsi="Verdana"/>
        </w:rPr>
      </w:pPr>
    </w:p>
    <w:p w:rsidR="00867653" w:rsidRPr="00867653" w:rsidRDefault="00867653" w:rsidP="00867653">
      <w:pPr>
        <w:numPr>
          <w:ilvl w:val="0"/>
          <w:numId w:val="8"/>
        </w:numPr>
        <w:jc w:val="both"/>
        <w:rPr>
          <w:rFonts w:ascii="Verdana" w:hAnsi="Verdana"/>
        </w:rPr>
      </w:pPr>
      <w:r w:rsidRPr="00867653">
        <w:rPr>
          <w:rFonts w:ascii="Verdana" w:hAnsi="Verdana"/>
        </w:rPr>
        <w:t xml:space="preserve">§ 5 ust. 23 – w związku z treścią ww. postanowienia, celem prawidłowego skalkulowania oferty wnosimy o informację o wysokości cen za media, jakie Zamawiający ma określone w łączących go umowach z dostawcami mediów, </w:t>
      </w:r>
    </w:p>
    <w:p w:rsidR="00867653" w:rsidRPr="00867653" w:rsidRDefault="00867653" w:rsidP="00867653">
      <w:pPr>
        <w:ind w:left="1494"/>
        <w:jc w:val="both"/>
        <w:rPr>
          <w:rFonts w:ascii="Verdana" w:hAnsi="Verdana"/>
          <w:b/>
        </w:rPr>
      </w:pPr>
      <w:r w:rsidRPr="00867653">
        <w:rPr>
          <w:rFonts w:ascii="Verdana" w:hAnsi="Verdana"/>
          <w:b/>
        </w:rPr>
        <w:t>Odp.: Wykonawca wybrany w drodze postepowania zobowiązany będzie do zawarcia z Zamawiającym umowy w zakresie ponoszenia kosztów mediów, które:</w:t>
      </w:r>
    </w:p>
    <w:p w:rsidR="00867653" w:rsidRPr="00867653" w:rsidRDefault="00867653" w:rsidP="00867653">
      <w:pPr>
        <w:ind w:left="1494"/>
        <w:jc w:val="both"/>
        <w:rPr>
          <w:rFonts w:ascii="Verdana" w:hAnsi="Verdana"/>
          <w:b/>
        </w:rPr>
      </w:pPr>
      <w:r w:rsidRPr="00867653">
        <w:rPr>
          <w:rFonts w:ascii="Verdana" w:hAnsi="Verdana"/>
          <w:b/>
        </w:rPr>
        <w:t>- w zakresie dostaw wody i odprowadzania ścieków określa Cennik Spółki Akcyjnej Wodociągi Miasta Krakowa;</w:t>
      </w:r>
    </w:p>
    <w:p w:rsidR="00867653" w:rsidRPr="00867653" w:rsidRDefault="00867653" w:rsidP="00867653">
      <w:pPr>
        <w:ind w:left="1494"/>
        <w:jc w:val="both"/>
        <w:rPr>
          <w:rFonts w:ascii="Verdana" w:hAnsi="Verdana"/>
          <w:b/>
        </w:rPr>
      </w:pPr>
      <w:r w:rsidRPr="00867653">
        <w:rPr>
          <w:rFonts w:ascii="Verdana" w:hAnsi="Verdana"/>
          <w:b/>
        </w:rPr>
        <w:t>- w zakresie dostaw energii elektrycznej w roku 2024 są zmienne w okresach kwartalnych i prognozowana cena łączna brutto za 1 MWh nie przekracza 1300 zł. Zamawiający nie gwarantuje niezmienności podanej ceny w roku 2024. Ceny dla roku 2025 nie mogą zostać w chwili obecnej podane gdyż nie są znane.</w:t>
      </w:r>
    </w:p>
    <w:p w:rsidR="00867653" w:rsidRPr="00867653" w:rsidRDefault="00867653" w:rsidP="00867653">
      <w:pPr>
        <w:ind w:left="1494"/>
        <w:jc w:val="both"/>
        <w:rPr>
          <w:rFonts w:ascii="Verdana" w:hAnsi="Verdana"/>
        </w:rPr>
      </w:pPr>
    </w:p>
    <w:p w:rsidR="00867653" w:rsidRPr="00867653" w:rsidRDefault="00867653" w:rsidP="00867653">
      <w:pPr>
        <w:numPr>
          <w:ilvl w:val="0"/>
          <w:numId w:val="8"/>
        </w:numPr>
        <w:jc w:val="both"/>
        <w:rPr>
          <w:rFonts w:ascii="Verdana" w:hAnsi="Verdana"/>
        </w:rPr>
      </w:pPr>
      <w:r w:rsidRPr="00867653">
        <w:rPr>
          <w:rFonts w:ascii="Verdana" w:hAnsi="Verdana"/>
        </w:rPr>
        <w:t xml:space="preserve">§ 14 ust. 1 pkt 1 lit a) - czy zamawiający dopuszcza zmianę ww. postanowień poprzez obniżenia wysokości zastrzeżonej kary umownej do poziomu 0,01 % całkowitego wynagrodzenia brutto za każdy dzień zwłoki? Na uzasadnienie wskazujemy, że projektowane postanowienia umowy, w sposób rażący naruszają zasadę równowagi kontraktowej i dobrych obyczajów w obrocie gospodarczym. Stanowi ono przekroczenie granicy </w:t>
      </w:r>
      <w:r w:rsidRPr="00867653">
        <w:rPr>
          <w:rFonts w:ascii="Verdana" w:hAnsi="Verdana"/>
        </w:rPr>
        <w:lastRenderedPageBreak/>
        <w:t xml:space="preserve">dopuszczalnej swobody kontraktowej w warunkach projektowanych zapisów umowy wyraża się przede wszystkim w określeniu przez Zamawiającego kar umownych w wysokości rażąco wygórowanej, nieadekwatnych do naruszeń i mogących prowadzić do nieuzasadnionego wzbogacenia Zamawiającego kosztem wykonawcy. Stanowi ono również niewspółmierną sankcję i są nieproporcjonalne do przedmiotu zamówienia. Zarzucić należy, że kwestionowane postanowienie projektu umowy zostało ukształtowane z rażącym naruszeniem art. 353(1) k.c. i z oczywistych względów pozostaje w sprzeczności z podstawowymi funkcjami kary umownej. Konsekwencją tak skonstruowanej kary umownej, w połączeniu z wynikającą z ustawy o finansach publicznych konieczności jej dochodzenia przez Zamawiającego, może być jedynie bezzasadne wzbogacenie Zamawiającego kosztem wykonawcy, a nie zrekompensowanie możliwego uszczerbku Zamawiającego na wypadek ziszczenia się zdarzeń określonych w projektowanym zapisie umowy. Wskazać należy, że uprawnienie Zamawiającego do ustalania warunków umowy nie ma charakteru absolutnego i nie może odbywać się w całkowitym oderwaniu od poszanowania słusznego interesu wykonawców ubiegających się o udzielenie zamówienia (podobnie wyrok KIO z dnia 20.11.2015 r. w sprawie o sygn. akt KIO 2399/15 oraz wyrok KIO z dnia 06.06.2018 r. w sprawie o sygn. akt KIO 980/18, KIO 983/18). Konieczne zatem jest wyważenie interesów obu stron stosunku zobowiązaniowego wynikającego z umowy w sprawie zamówienia publicznego. Obowiązkiem Zamawiającego jest wprawdzie określenie postanowień umowy w sprawie zamówienia publicznego w taki sposób, ażeby cel zamówienia, tj. zaspokojenie określonych potrzeb Zamawiającego, został osiągnięty. W swoim działaniu nie może jednak Zamawiający nadużywać pozycji strony konstruującej kontrakt, korzystając z instrumentów niewspółmiernych do zamierzonego celu i to w sytuacji możliwości zastosowania innych środków, które w sposób dostateczny zabezpieczają interes Zamawiającego (zasada proporcjonalności). Bez wątpienia przejawem takiego działania podejmowanego z naruszeniem zasady proporcjonalności jest zastrzeganie przez zamawiających rażąco wygórowanych kar umownych, bez względu na ewentualną winę, stopień zawinienia wykonawcy oraz bez odniesienia wysokości kary do hipotetycznie wyliczonej przyszłej szkody, jaką może ponieść Zamawiający w związku z niewykonaniem lub nienależytym wykonaniem umowy w sprawie zamówienia. Jak wskazał Sąd Apelacyjny w Szczecinie w wyroku z dnia 24 kwietnia 2014 r. (sygn. akt I </w:t>
      </w:r>
      <w:proofErr w:type="spellStart"/>
      <w:r w:rsidRPr="00867653">
        <w:rPr>
          <w:rFonts w:ascii="Verdana" w:hAnsi="Verdana"/>
        </w:rPr>
        <w:t>ACa</w:t>
      </w:r>
      <w:proofErr w:type="spellEnd"/>
      <w:r w:rsidRPr="00867653">
        <w:rPr>
          <w:rFonts w:ascii="Verdana" w:hAnsi="Verdana"/>
        </w:rPr>
        <w:t xml:space="preserve"> 26/14) ,,ocenę, czy kara w danym przypadku jest rażąco wygórowana w rozumieniu art. 484 § 2 k.c. należy dokonać w kontekście całokształtu okoliczności sprawy, a zatem uwzględniając przedmiot umowy, okoliczności, na jakie kara umowna została zastrzeżona, cel tej kary, sposób jej ukształtowania, okoliczności, </w:t>
      </w:r>
      <w:r w:rsidRPr="00867653">
        <w:rPr>
          <w:rFonts w:ascii="Verdana" w:hAnsi="Verdana"/>
        </w:rPr>
        <w:lastRenderedPageBreak/>
        <w:t>w jakich doszło do sytuacji uzasadniającej naliczenia kary, wagę i zakres nienależytego wykonania umowy, stopień winy, charakter negatywnych skutków dla drugiej strony itp." Zastrzegane w umowach o zamówienie publiczne kary umowne winny zmierzać do zabezpieczenia należytego wykonania umowy i pozostawać w związku z zasadniczymi obowiązkami wykonawcy, wynikającymi z przedmiotu zamówienia. W naszej ocenie postanowienia projektu umowy dyrektywy tej nie spełniają, a tym samym zasadne jest twierdzenie, iż warunkach niniejszego zamówienia Zamawiający nadużył swej pozycji jako strony umowy samodzielnie redagującej kontrakt.</w:t>
      </w:r>
    </w:p>
    <w:p w:rsidR="00867653" w:rsidRPr="00867653" w:rsidRDefault="00867653" w:rsidP="00867653">
      <w:pPr>
        <w:ind w:left="1494"/>
        <w:jc w:val="both"/>
        <w:rPr>
          <w:rFonts w:ascii="Verdana" w:hAnsi="Verdana"/>
          <w:b/>
        </w:rPr>
      </w:pPr>
      <w:r w:rsidRPr="00867653">
        <w:rPr>
          <w:rFonts w:ascii="Verdana" w:hAnsi="Verdana"/>
          <w:b/>
        </w:rPr>
        <w:t>Odp.: Zamawiający dokonuje zmiany kary zastrzeżonej na wypadek zwłoki w wykonaniu umowy (§ 14 ust.1 pkt 1 lit a)) do wysokości 0,1% za każdy dzień zwłoki wynagrodzenia określonego w § 7 ust.1.</w:t>
      </w:r>
    </w:p>
    <w:p w:rsidR="00867653" w:rsidRPr="00867653" w:rsidRDefault="00867653" w:rsidP="00867653">
      <w:pPr>
        <w:ind w:left="1494"/>
        <w:jc w:val="both"/>
        <w:rPr>
          <w:rFonts w:ascii="Verdana" w:hAnsi="Verdana"/>
        </w:rPr>
      </w:pPr>
      <w:r w:rsidRPr="00867653">
        <w:rPr>
          <w:rFonts w:ascii="Verdana" w:hAnsi="Verdana"/>
        </w:rPr>
        <w:t xml:space="preserve"> </w:t>
      </w:r>
    </w:p>
    <w:p w:rsidR="00867653" w:rsidRPr="00867653" w:rsidRDefault="00867653" w:rsidP="00867653">
      <w:pPr>
        <w:numPr>
          <w:ilvl w:val="0"/>
          <w:numId w:val="8"/>
        </w:numPr>
        <w:jc w:val="both"/>
        <w:rPr>
          <w:rFonts w:ascii="Verdana" w:hAnsi="Verdana"/>
        </w:rPr>
      </w:pPr>
      <w:r w:rsidRPr="00867653">
        <w:rPr>
          <w:rFonts w:ascii="Verdana" w:hAnsi="Verdana"/>
        </w:rPr>
        <w:t xml:space="preserve">§14 ust. 2 wnosimy o obniżenie maksymalnej łącznej wysokości kar umownych do poziomu 10 % wynagrodzenia. Przewidziany limit znacząco narusza równowagę stron umowy, ustalony limit prowadzi do nieuzasadnionego wzbogacenia zamawiającego oraz nie pokrywa się z rzeczywistym celem ustanowienia kar umownych. Wskazujemy, że w orzeczeniu KIO, sygn. akt KIO 2574/18, Izba uznała, że nie można akceptować takich mechanizmów, które pozbawią wykonawcy przychodu z tytułu świadczonej usługi. Kara umowna powinna mieć wysokość, która będzie działała dyscyplinująco stronę umowy, ale nie w stopniu prowadzącym do rażącego wzbogacenia jednej strony kosztem drugiej, a wręcz czyniącym niecelowym jej wykonywanie. Dodatkowo proponowany limit kar umownych jest zbieżny z zastrzeżoną karą umowną za odstąpienie od umowy. </w:t>
      </w:r>
    </w:p>
    <w:p w:rsidR="00867653" w:rsidRPr="00867653" w:rsidRDefault="00867653" w:rsidP="00867653">
      <w:pPr>
        <w:ind w:left="1494"/>
        <w:jc w:val="both"/>
        <w:rPr>
          <w:rFonts w:ascii="Verdana" w:hAnsi="Verdana"/>
          <w:b/>
        </w:rPr>
      </w:pPr>
      <w:r w:rsidRPr="00867653">
        <w:rPr>
          <w:rFonts w:ascii="Verdana" w:hAnsi="Verdana"/>
          <w:b/>
        </w:rPr>
        <w:t xml:space="preserve">Odp.: </w:t>
      </w:r>
      <w:r w:rsidRPr="00867653">
        <w:rPr>
          <w:rFonts w:ascii="Verdana" w:hAnsi="Verdana"/>
          <w:b/>
          <w:bCs/>
        </w:rPr>
        <w:t>Zamawiający obniża limit maksymalnej wysokości kar umownych z 25% na 20%. Tym samym dokonuje zmiany zapisu §14 ust. 2 Wzoru umowy na następujący „Łączna maksymalna wysokość kar umownych nie przekroczy 20% całkowitego wynagrodzenia brutto określonego w §7 ust. 1</w:t>
      </w:r>
    </w:p>
    <w:p w:rsidR="00867653" w:rsidRPr="00867653" w:rsidRDefault="00867653" w:rsidP="00867653">
      <w:pPr>
        <w:ind w:left="1494"/>
        <w:jc w:val="both"/>
        <w:rPr>
          <w:rFonts w:ascii="Verdana" w:hAnsi="Verdana"/>
        </w:rPr>
      </w:pPr>
    </w:p>
    <w:p w:rsidR="00867653" w:rsidRPr="00867653" w:rsidRDefault="00867653" w:rsidP="00867653">
      <w:pPr>
        <w:numPr>
          <w:ilvl w:val="0"/>
          <w:numId w:val="8"/>
        </w:numPr>
        <w:jc w:val="both"/>
        <w:rPr>
          <w:rFonts w:ascii="Verdana" w:hAnsi="Verdana"/>
        </w:rPr>
      </w:pPr>
      <w:r w:rsidRPr="00867653">
        <w:rPr>
          <w:rFonts w:ascii="Verdana" w:hAnsi="Verdana"/>
        </w:rPr>
        <w:t xml:space="preserve">§ 18 ust. 1 pkt 5 - czy zamawiający wyraża zgodę na zwiększenie łącznej maksymalnej wartości zmiany wynagrodzenia do poziomu 15 % wysokości wynagrodzenia wykonawcy? Na uzasadnienie wnioskowanej zmiany wskazujemy, że inwestycja ma skomplikowany charakter z uwagi na uwarunkowania techniczne i prawne, jak również rodzi ryzyko z uwagi na okres jej realizacji, że rynkowe czynniki zewnętrzne będą istotnie oddziaływały na treść, wysokość i ostatecznie ekwiwalentność świadczeń uzgodnionych przez strony i spełnianych na podstawie umowy w sprawie zamówienia publicznego. Klauzula waloryzacyjna w swoim założeniu ma </w:t>
      </w:r>
      <w:r w:rsidRPr="00867653">
        <w:rPr>
          <w:rFonts w:ascii="Verdana" w:hAnsi="Verdana"/>
        </w:rPr>
        <w:lastRenderedPageBreak/>
        <w:t>takie negatywne dla stron umowy oddziaływania zminimalizować, co w istocie jest w interesie obu stron umowy. Zadaniem waloryzacji umownej jest zatem urealnienie wynagrodzenia wykonawcy w przypadku zmian ceny materiałów lub kosztów związanych z realizacją kontraktu publicznego. Ponadto obowiązek wskazania maksymalnej wartości zmiany wynagrodzenia ma na celu ustalenie ekwiwalentności świadczeń stron. Podwyżka wynagrodzenia ma odzwierciedlać bieżącą i prognozowaną sytuację rynkową – ma umożliwić zmianę wysokości wynagrodzenia stosownie do rzeczywistych zmian cen materiałów lub kosztów związanych z realizacją zamówienia. Projektowane przez zamawiającego postanowienie umowne narusza w istotny sposób zasadę ekwiwalentności stron w kontekście obowiązujących od dłuższego czasu wysokich wskaźników cen towarów i usług konsumpcyjnych (miernik zmiany kosztów przyjęty przez Zamawiającego), przerzucając w całości ryzyko wzrostu ceny i kosztów na wykonawcę. Ponadto zwracamy uwagę, że zgodnie z wyrokiem KIO z dnia 25.10.2022 r. (KIO 2532/22) waloryzacja powinna przewidywać wartość zmiany wynagrod</w:t>
      </w:r>
      <w:bookmarkStart w:id="0" w:name="_GoBack"/>
      <w:bookmarkEnd w:id="0"/>
      <w:r w:rsidRPr="00867653">
        <w:rPr>
          <w:rFonts w:ascii="Verdana" w:hAnsi="Verdana"/>
        </w:rPr>
        <w:t>zenia w wysokości większej niż 10 % wynagrodzenia wykonawcy.</w:t>
      </w:r>
    </w:p>
    <w:p w:rsidR="00867653" w:rsidRPr="00867653" w:rsidRDefault="00867653" w:rsidP="00867653">
      <w:pPr>
        <w:ind w:left="1494"/>
        <w:jc w:val="both"/>
        <w:rPr>
          <w:rFonts w:ascii="Verdana" w:hAnsi="Verdana"/>
          <w:b/>
        </w:rPr>
      </w:pPr>
      <w:r w:rsidRPr="00867653">
        <w:rPr>
          <w:rFonts w:ascii="Verdana" w:hAnsi="Verdana"/>
          <w:b/>
        </w:rPr>
        <w:t>Odp.: Zamawiający nie wyraża zgody.</w:t>
      </w:r>
    </w:p>
    <w:p w:rsidR="00BE7BFD" w:rsidRPr="00867653" w:rsidRDefault="00BE7BFD" w:rsidP="00867653"/>
    <w:sectPr w:rsidR="00BE7BFD" w:rsidRPr="00867653"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4D77" w:rsidRDefault="00BF4D77">
      <w:r>
        <w:separator/>
      </w:r>
    </w:p>
  </w:endnote>
  <w:endnote w:type="continuationSeparator" w:id="0">
    <w:p w:rsidR="00BF4D77" w:rsidRDefault="00BF4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4D77" w:rsidRDefault="00BF4D77">
      <w:r>
        <w:separator/>
      </w:r>
    </w:p>
  </w:footnote>
  <w:footnote w:type="continuationSeparator" w:id="0">
    <w:p w:rsidR="00BF4D77" w:rsidRDefault="00BF4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321" w:rsidRDefault="00C563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653" w:rsidRDefault="00867653" w:rsidP="00867653">
    <w:pPr>
      <w:pStyle w:val="Nagwek"/>
      <w:tabs>
        <w:tab w:val="right" w:pos="7371"/>
      </w:tabs>
      <w:ind w:left="1276" w:hanging="127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 agh firmówka" style="width:209.25pt;height:107.25pt;visibility:visible">
          <v:imagedata r:id="rId1" o:title="logo agh firmówka"/>
        </v:shape>
      </w:pict>
    </w:r>
  </w:p>
  <w:p w:rsidR="00867653" w:rsidRDefault="00867653" w:rsidP="00867653">
    <w:pPr>
      <w:pStyle w:val="Nagwek"/>
      <w:tabs>
        <w:tab w:val="right" w:pos="7371"/>
      </w:tabs>
      <w:ind w:hanging="1560"/>
      <w:rPr>
        <w:rFonts w:ascii="Verdana" w:hAnsi="Verdana"/>
        <w:noProof/>
        <w:sz w:val="26"/>
        <w:szCs w:val="26"/>
      </w:rPr>
    </w:pPr>
  </w:p>
  <w:p w:rsidR="00867653" w:rsidRDefault="00867653" w:rsidP="00867653">
    <w:pPr>
      <w:pStyle w:val="Nagwek"/>
      <w:tabs>
        <w:tab w:val="right" w:pos="7371"/>
      </w:tabs>
      <w:ind w:left="1418" w:hanging="142"/>
      <w:rPr>
        <w:rFonts w:ascii="Verdana" w:hAnsi="Verdana"/>
        <w:sz w:val="26"/>
        <w:szCs w:val="26"/>
      </w:rPr>
    </w:pPr>
    <w:r>
      <w:rPr>
        <w:rFonts w:ascii="Verdana" w:hAnsi="Verdana"/>
        <w:sz w:val="26"/>
        <w:szCs w:val="26"/>
      </w:rPr>
      <w:t>Pion Kanclerza,</w:t>
    </w:r>
  </w:p>
  <w:p w:rsidR="00867653" w:rsidRDefault="00867653" w:rsidP="00867653">
    <w:pPr>
      <w:pStyle w:val="Nagwek"/>
      <w:tabs>
        <w:tab w:val="right" w:pos="7371"/>
      </w:tabs>
      <w:ind w:firstLine="1276"/>
      <w:rPr>
        <w:rFonts w:ascii="Verdana" w:hAnsi="Verdana"/>
        <w:sz w:val="16"/>
        <w:szCs w:val="16"/>
      </w:rPr>
    </w:pPr>
    <w:r>
      <w:rPr>
        <w:rFonts w:ascii="Verdana" w:hAnsi="Verdana"/>
        <w:sz w:val="26"/>
        <w:szCs w:val="26"/>
      </w:rPr>
      <w:t xml:space="preserve">Dział Zamówień Publicznych </w:t>
    </w: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2"/>
        <w:szCs w:val="2"/>
      </w:rPr>
    </w:pPr>
  </w:p>
  <w:p w:rsidR="00867653" w:rsidRDefault="00867653" w:rsidP="00867653">
    <w:pPr>
      <w:pStyle w:val="Nagwek"/>
      <w:tabs>
        <w:tab w:val="right" w:pos="7371"/>
      </w:tabs>
      <w:rPr>
        <w:rFonts w:ascii="Verdana" w:hAnsi="Verdana"/>
        <w:sz w:val="16"/>
        <w:szCs w:val="16"/>
      </w:rPr>
    </w:pPr>
  </w:p>
  <w:p w:rsidR="00867653" w:rsidRDefault="00867653" w:rsidP="00867653">
    <w:pPr>
      <w:pStyle w:val="Nagwek"/>
    </w:pPr>
  </w:p>
  <w:p w:rsidR="00867653" w:rsidRDefault="00867653" w:rsidP="00867653">
    <w:pPr>
      <w:pStyle w:val="Nagwek"/>
    </w:pPr>
  </w:p>
  <w:p w:rsidR="00C56321" w:rsidRDefault="00C5632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321" w:rsidRDefault="00C563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7B749C1"/>
    <w:multiLevelType w:val="hybridMultilevel"/>
    <w:tmpl w:val="D1C40A7E"/>
    <w:lvl w:ilvl="0" w:tplc="0415000F">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4D77"/>
    <w:rsid w:val="00031374"/>
    <w:rsid w:val="000A1097"/>
    <w:rsid w:val="000E2A8F"/>
    <w:rsid w:val="0012774F"/>
    <w:rsid w:val="00144B7A"/>
    <w:rsid w:val="00180C6E"/>
    <w:rsid w:val="001D75AC"/>
    <w:rsid w:val="0029606A"/>
    <w:rsid w:val="004848F3"/>
    <w:rsid w:val="004A75F2"/>
    <w:rsid w:val="005144A9"/>
    <w:rsid w:val="00520165"/>
    <w:rsid w:val="005B1B08"/>
    <w:rsid w:val="00632C3C"/>
    <w:rsid w:val="00662BDB"/>
    <w:rsid w:val="006A5DF1"/>
    <w:rsid w:val="006B7198"/>
    <w:rsid w:val="006D4AB3"/>
    <w:rsid w:val="006F3B81"/>
    <w:rsid w:val="007D7198"/>
    <w:rsid w:val="00867653"/>
    <w:rsid w:val="00870F9F"/>
    <w:rsid w:val="008804B6"/>
    <w:rsid w:val="00897AB0"/>
    <w:rsid w:val="008A3553"/>
    <w:rsid w:val="00947A50"/>
    <w:rsid w:val="009B3429"/>
    <w:rsid w:val="00A905AC"/>
    <w:rsid w:val="00BA6584"/>
    <w:rsid w:val="00BB55D0"/>
    <w:rsid w:val="00BE7BFD"/>
    <w:rsid w:val="00BF4D77"/>
    <w:rsid w:val="00C370F2"/>
    <w:rsid w:val="00C44EEC"/>
    <w:rsid w:val="00C56321"/>
    <w:rsid w:val="00CF0649"/>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A41FD4E"/>
  <w15:chartTrackingRefBased/>
  <w15:docId w15:val="{94922134-1D37-4D7D-98ED-FDF4EF1F3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67653"/>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867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2047C-B725-4370-881F-7C442173B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4</Pages>
  <Words>1126</Words>
  <Characters>7274</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Rogowska-Kwas</cp:lastModifiedBy>
  <cp:revision>3</cp:revision>
  <cp:lastPrinted>2001-02-10T14:28:00Z</cp:lastPrinted>
  <dcterms:created xsi:type="dcterms:W3CDTF">2024-02-23T10:43:00Z</dcterms:created>
  <dcterms:modified xsi:type="dcterms:W3CDTF">2024-02-23T10:44:00Z</dcterms:modified>
</cp:coreProperties>
</file>