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5A886A3D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F349C" w:rsidRPr="001F349C">
        <w:rPr>
          <w:rFonts w:ascii="Aptos" w:eastAsia="Aptos" w:hAnsi="Aptos" w:cs="Times New Roman"/>
          <w:b/>
        </w:rPr>
        <w:t>dostawa przenośnego analizatora spalin  dla WEiP - DE-dzp.272-374/24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="001F349C">
        <w:rPr>
          <w:rFonts w:ascii="Aptos" w:eastAsia="Aptos" w:hAnsi="Aptos" w:cs="Times New Roman"/>
          <w:b/>
          <w:sz w:val="26"/>
        </w:rPr>
        <w:br/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349C"/>
    <w:rsid w:val="00250493"/>
    <w:rsid w:val="0042665B"/>
    <w:rsid w:val="004C050C"/>
    <w:rsid w:val="0054237B"/>
    <w:rsid w:val="007421D6"/>
    <w:rsid w:val="008454CD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799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2024-06-26T06:16:00Z</dcterms:created>
  <dcterms:modified xsi:type="dcterms:W3CDTF">2024-07-17T11:02:00Z</dcterms:modified>
</cp:coreProperties>
</file>